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957" w:rsidRPr="00B70E4B" w:rsidRDefault="007971C1" w:rsidP="005A4F39">
      <w:pPr>
        <w:pStyle w:val="Header"/>
        <w:tabs>
          <w:tab w:val="right" w:pos="9072"/>
        </w:tabs>
        <w:rPr>
          <w:rFonts w:ascii="Arial" w:hAnsi="Arial" w:cs="Arial"/>
          <w:sz w:val="24"/>
          <w:szCs w:val="28"/>
          <w:lang w:val="en-US"/>
        </w:rPr>
      </w:pPr>
      <w:r w:rsidRPr="00B70E4B">
        <w:rPr>
          <w:rFonts w:ascii="Arial" w:hAnsi="Arial" w:cs="Arial"/>
          <w:sz w:val="24"/>
          <w:szCs w:val="28"/>
          <w:lang w:val="en-US"/>
        </w:rPr>
        <w:t>3GPP TSG RAN WG4 Meeting #8</w:t>
      </w:r>
      <w:r w:rsidR="00B70E4B" w:rsidRPr="00B70E4B">
        <w:rPr>
          <w:rFonts w:ascii="Arial" w:hAnsi="Arial" w:cs="Arial"/>
          <w:sz w:val="24"/>
          <w:szCs w:val="28"/>
          <w:lang w:val="en-US"/>
        </w:rPr>
        <w:t>1</w:t>
      </w:r>
      <w:r w:rsidR="00D80957" w:rsidRPr="00B70E4B">
        <w:rPr>
          <w:rFonts w:ascii="Arial" w:hAnsi="Arial" w:cs="Arial"/>
          <w:sz w:val="24"/>
          <w:szCs w:val="28"/>
          <w:lang w:val="en-US"/>
        </w:rPr>
        <w:tab/>
      </w:r>
      <w:r w:rsidR="00075040" w:rsidRPr="00B70E4B">
        <w:rPr>
          <w:rFonts w:ascii="Arial" w:hAnsi="Arial" w:cs="Arial"/>
          <w:sz w:val="24"/>
          <w:szCs w:val="28"/>
          <w:lang w:val="en-US"/>
        </w:rPr>
        <w:t>R4-</w:t>
      </w:r>
      <w:r w:rsidR="00C62552" w:rsidRPr="00B70E4B">
        <w:rPr>
          <w:rFonts w:ascii="Arial" w:hAnsi="Arial" w:cs="Arial"/>
          <w:sz w:val="24"/>
          <w:szCs w:val="28"/>
          <w:lang w:val="en-US"/>
        </w:rPr>
        <w:t>16</w:t>
      </w:r>
      <w:r w:rsidR="00C758DE">
        <w:rPr>
          <w:rFonts w:ascii="Arial" w:hAnsi="Arial" w:cs="Arial"/>
          <w:sz w:val="24"/>
          <w:szCs w:val="28"/>
          <w:lang w:val="en-US"/>
        </w:rPr>
        <w:t>09846</w:t>
      </w:r>
    </w:p>
    <w:p w:rsidR="00D80957" w:rsidRPr="00B70E4B" w:rsidRDefault="00244CD4" w:rsidP="005A4F39">
      <w:pPr>
        <w:pStyle w:val="Header"/>
        <w:tabs>
          <w:tab w:val="right" w:pos="9072"/>
        </w:tabs>
        <w:rPr>
          <w:rFonts w:ascii="Arial" w:hAnsi="Arial" w:cs="Arial"/>
          <w:sz w:val="24"/>
          <w:szCs w:val="28"/>
          <w:lang w:val="en-US"/>
        </w:rPr>
      </w:pPr>
      <w:r>
        <w:rPr>
          <w:rFonts w:ascii="Arial" w:hAnsi="Arial" w:cs="Arial"/>
          <w:sz w:val="24"/>
          <w:szCs w:val="28"/>
          <w:lang w:val="en-US"/>
        </w:rPr>
        <w:t>Reno, Nevada, US, November 14 – 18</w:t>
      </w:r>
      <w:r w:rsidR="007D18D2" w:rsidRPr="00B70E4B">
        <w:rPr>
          <w:rFonts w:ascii="Arial" w:hAnsi="Arial" w:cs="Arial"/>
          <w:sz w:val="24"/>
          <w:szCs w:val="28"/>
          <w:lang w:val="en-US"/>
        </w:rPr>
        <w:t xml:space="preserve">, </w:t>
      </w:r>
      <w:r>
        <w:rPr>
          <w:rFonts w:ascii="Arial" w:hAnsi="Arial" w:cs="Arial"/>
          <w:sz w:val="24"/>
          <w:szCs w:val="28"/>
          <w:lang w:val="en-US"/>
        </w:rPr>
        <w:t>2016</w:t>
      </w:r>
    </w:p>
    <w:p w:rsidR="00D80957" w:rsidRPr="00B70E4B" w:rsidRDefault="00D80957" w:rsidP="0033186E">
      <w:pPr>
        <w:tabs>
          <w:tab w:val="left" w:pos="1985"/>
        </w:tabs>
        <w:spacing w:before="240" w:after="0"/>
        <w:jc w:val="both"/>
        <w:rPr>
          <w:rFonts w:ascii="Arial" w:hAnsi="Arial" w:cs="Arial"/>
          <w:bCs/>
          <w:sz w:val="22"/>
          <w:szCs w:val="22"/>
          <w:lang w:val="en-US"/>
        </w:rPr>
      </w:pPr>
      <w:r w:rsidRPr="00B70E4B">
        <w:rPr>
          <w:rFonts w:ascii="Arial" w:hAnsi="Arial" w:cs="Arial"/>
          <w:b/>
          <w:sz w:val="22"/>
          <w:szCs w:val="22"/>
          <w:lang w:val="en-US"/>
        </w:rPr>
        <w:t>Agenda Item:</w:t>
      </w:r>
      <w:r w:rsidRPr="00B70E4B">
        <w:rPr>
          <w:rFonts w:ascii="Arial" w:hAnsi="Arial" w:cs="Arial"/>
          <w:b/>
          <w:sz w:val="22"/>
          <w:szCs w:val="22"/>
          <w:lang w:val="en-US"/>
        </w:rPr>
        <w:tab/>
      </w:r>
      <w:r w:rsidR="00C758DE">
        <w:rPr>
          <w:rFonts w:ascii="Arial" w:hAnsi="Arial" w:cs="Arial"/>
          <w:bCs/>
          <w:sz w:val="22"/>
          <w:szCs w:val="22"/>
          <w:lang w:val="en-US"/>
        </w:rPr>
        <w:t>8.20.4.6</w:t>
      </w:r>
      <w:bookmarkStart w:id="0" w:name="_GoBack"/>
      <w:bookmarkEnd w:id="0"/>
    </w:p>
    <w:p w:rsidR="00D80957" w:rsidRPr="00B70E4B" w:rsidRDefault="00D80957" w:rsidP="0033186E">
      <w:pPr>
        <w:tabs>
          <w:tab w:val="left" w:pos="1985"/>
        </w:tabs>
        <w:spacing w:after="0"/>
        <w:jc w:val="both"/>
        <w:rPr>
          <w:rFonts w:ascii="Arial" w:hAnsi="Arial" w:cs="Arial"/>
          <w:b/>
          <w:sz w:val="22"/>
          <w:szCs w:val="22"/>
          <w:lang w:val="en-US"/>
        </w:rPr>
      </w:pPr>
      <w:r w:rsidRPr="00B70E4B">
        <w:rPr>
          <w:rFonts w:ascii="Arial" w:hAnsi="Arial" w:cs="Arial"/>
          <w:b/>
          <w:sz w:val="22"/>
          <w:szCs w:val="22"/>
          <w:lang w:val="en-US"/>
        </w:rPr>
        <w:t xml:space="preserve">Source: </w:t>
      </w:r>
      <w:r w:rsidRPr="00B70E4B">
        <w:rPr>
          <w:rFonts w:ascii="Arial" w:hAnsi="Arial" w:cs="Arial"/>
          <w:b/>
          <w:sz w:val="22"/>
          <w:szCs w:val="22"/>
          <w:lang w:val="en-US"/>
        </w:rPr>
        <w:tab/>
      </w:r>
      <w:r w:rsidRPr="00B70E4B">
        <w:rPr>
          <w:rFonts w:ascii="Arial" w:hAnsi="Arial" w:cs="Arial"/>
          <w:bCs/>
          <w:sz w:val="22"/>
          <w:szCs w:val="22"/>
          <w:lang w:val="en-US"/>
        </w:rPr>
        <w:t>Ericsson</w:t>
      </w:r>
    </w:p>
    <w:p w:rsidR="00D80957" w:rsidRPr="00B70E4B" w:rsidRDefault="00D80957" w:rsidP="00FE2AF6">
      <w:pPr>
        <w:tabs>
          <w:tab w:val="left" w:pos="1985"/>
        </w:tabs>
        <w:spacing w:after="0"/>
        <w:jc w:val="both"/>
        <w:rPr>
          <w:rFonts w:ascii="Arial" w:hAnsi="Arial" w:cs="Arial"/>
          <w:sz w:val="22"/>
          <w:szCs w:val="22"/>
          <w:lang w:val="en-US"/>
        </w:rPr>
      </w:pPr>
      <w:r w:rsidRPr="00B70E4B">
        <w:rPr>
          <w:rFonts w:ascii="Arial" w:hAnsi="Arial" w:cs="Arial"/>
          <w:b/>
          <w:sz w:val="22"/>
          <w:szCs w:val="22"/>
          <w:lang w:val="en-US"/>
        </w:rPr>
        <w:t>Title:</w:t>
      </w:r>
      <w:r w:rsidRPr="00B70E4B">
        <w:rPr>
          <w:rFonts w:ascii="Arial" w:hAnsi="Arial" w:cs="Arial"/>
          <w:sz w:val="22"/>
          <w:szCs w:val="22"/>
          <w:lang w:val="en-US"/>
        </w:rPr>
        <w:tab/>
      </w:r>
      <w:r w:rsidR="00F50CE4" w:rsidRPr="00B70E4B">
        <w:rPr>
          <w:rFonts w:ascii="Arial" w:hAnsi="Arial" w:cs="Arial"/>
          <w:sz w:val="22"/>
          <w:szCs w:val="22"/>
          <w:lang w:val="en-US"/>
        </w:rPr>
        <w:t>Requirements on measure</w:t>
      </w:r>
      <w:r w:rsidR="00A26123">
        <w:rPr>
          <w:rFonts w:ascii="Arial" w:hAnsi="Arial" w:cs="Arial"/>
          <w:sz w:val="22"/>
          <w:szCs w:val="22"/>
          <w:lang w:val="en-US"/>
        </w:rPr>
        <w:t>ments for congestion control in</w:t>
      </w:r>
      <w:r w:rsidR="00F50CE4" w:rsidRPr="00B70E4B">
        <w:rPr>
          <w:rFonts w:ascii="Arial" w:hAnsi="Arial" w:cs="Arial"/>
          <w:sz w:val="22"/>
          <w:szCs w:val="22"/>
          <w:lang w:val="en-US"/>
        </w:rPr>
        <w:t xml:space="preserve"> V2X</w:t>
      </w:r>
    </w:p>
    <w:p w:rsidR="00D80957" w:rsidRPr="00B70E4B" w:rsidRDefault="00D80957" w:rsidP="0033186E">
      <w:pPr>
        <w:tabs>
          <w:tab w:val="left" w:pos="1985"/>
        </w:tabs>
        <w:spacing w:after="0"/>
        <w:jc w:val="both"/>
        <w:rPr>
          <w:rFonts w:ascii="Arial" w:hAnsi="Arial" w:cs="Arial"/>
          <w:sz w:val="22"/>
          <w:szCs w:val="22"/>
          <w:lang w:val="en-US"/>
        </w:rPr>
      </w:pPr>
      <w:r w:rsidRPr="00B70E4B">
        <w:rPr>
          <w:rFonts w:ascii="Arial" w:hAnsi="Arial" w:cs="Arial"/>
          <w:b/>
          <w:sz w:val="22"/>
          <w:szCs w:val="22"/>
          <w:lang w:val="en-US"/>
        </w:rPr>
        <w:t>Document for:</w:t>
      </w:r>
      <w:r w:rsidR="0004190F" w:rsidRPr="00B70E4B">
        <w:rPr>
          <w:rFonts w:ascii="Arial" w:hAnsi="Arial" w:cs="Arial"/>
          <w:sz w:val="22"/>
          <w:szCs w:val="22"/>
          <w:lang w:val="en-US"/>
        </w:rPr>
        <w:tab/>
      </w:r>
      <w:r w:rsidR="00B76E95" w:rsidRPr="00B70E4B">
        <w:rPr>
          <w:rFonts w:ascii="Arial" w:hAnsi="Arial" w:cs="Arial"/>
          <w:sz w:val="22"/>
          <w:szCs w:val="22"/>
          <w:lang w:val="en-US"/>
        </w:rPr>
        <w:t>Discussion</w:t>
      </w:r>
    </w:p>
    <w:p w:rsidR="00D80957" w:rsidRPr="00B70E4B" w:rsidRDefault="00D80957" w:rsidP="00BC3FE3">
      <w:pPr>
        <w:pStyle w:val="Heading1"/>
        <w:ind w:left="431" w:hanging="431"/>
        <w:rPr>
          <w:szCs w:val="36"/>
          <w:lang w:val="en-US"/>
        </w:rPr>
      </w:pPr>
      <w:bookmarkStart w:id="1" w:name="_Ref458783695"/>
      <w:r w:rsidRPr="00B70E4B">
        <w:rPr>
          <w:szCs w:val="36"/>
          <w:lang w:val="en-US"/>
        </w:rPr>
        <w:t>Introduction</w:t>
      </w:r>
      <w:bookmarkStart w:id="2" w:name="OLE_LINK13"/>
      <w:bookmarkStart w:id="3" w:name="OLE_LINK14"/>
      <w:bookmarkEnd w:id="1"/>
    </w:p>
    <w:p w:rsidR="00B66648" w:rsidRPr="00B70E4B" w:rsidRDefault="00B66648" w:rsidP="00B66648">
      <w:pPr>
        <w:pStyle w:val="BodyText"/>
        <w:spacing w:after="240"/>
        <w:jc w:val="both"/>
        <w:rPr>
          <w:sz w:val="22"/>
          <w:szCs w:val="22"/>
          <w:lang w:val="en-US"/>
        </w:rPr>
      </w:pPr>
      <w:r w:rsidRPr="00B70E4B">
        <w:rPr>
          <w:sz w:val="22"/>
          <w:szCs w:val="22"/>
          <w:lang w:val="en-US"/>
        </w:rPr>
        <w:t>V2X communications is a type of communications in which a large number of communication entities with high demands for radio resources can concentrate on a limited geographical area, making the network congestion inevitable. Hence, a congestion control mechanism is needed to make the system work in such scenarios.</w:t>
      </w:r>
    </w:p>
    <w:p w:rsidR="00B66648" w:rsidRPr="00B70E4B" w:rsidRDefault="00B66648" w:rsidP="00B66648">
      <w:pPr>
        <w:pStyle w:val="BodyText"/>
        <w:spacing w:after="240"/>
        <w:jc w:val="both"/>
        <w:rPr>
          <w:sz w:val="22"/>
          <w:szCs w:val="22"/>
          <w:lang w:val="en-US"/>
        </w:rPr>
      </w:pPr>
      <w:r w:rsidRPr="00B70E4B">
        <w:rPr>
          <w:sz w:val="22"/>
          <w:szCs w:val="22"/>
          <w:lang w:val="en-US"/>
        </w:rPr>
        <w:t xml:space="preserve">In the RAN1 contribution </w:t>
      </w:r>
      <w:r w:rsidRPr="00B70E4B">
        <w:rPr>
          <w:sz w:val="22"/>
          <w:szCs w:val="22"/>
          <w:lang w:val="en-US"/>
        </w:rPr>
        <w:fldChar w:fldCharType="begin"/>
      </w:r>
      <w:r w:rsidRPr="00B70E4B">
        <w:rPr>
          <w:sz w:val="22"/>
          <w:szCs w:val="22"/>
          <w:lang w:val="en-US"/>
        </w:rPr>
        <w:instrText xml:space="preserve"> REF _Ref463002632 \r \h </w:instrText>
      </w:r>
      <w:r w:rsidRPr="00B70E4B">
        <w:rPr>
          <w:sz w:val="22"/>
          <w:szCs w:val="22"/>
          <w:lang w:val="en-US"/>
        </w:rPr>
      </w:r>
      <w:r w:rsidRPr="00B70E4B">
        <w:rPr>
          <w:sz w:val="22"/>
          <w:szCs w:val="22"/>
          <w:lang w:val="en-US"/>
        </w:rPr>
        <w:fldChar w:fldCharType="separate"/>
      </w:r>
      <w:r w:rsidR="002D1D2B" w:rsidRPr="00B70E4B">
        <w:rPr>
          <w:sz w:val="22"/>
          <w:szCs w:val="22"/>
          <w:lang w:val="en-US"/>
        </w:rPr>
        <w:t>[1]</w:t>
      </w:r>
      <w:r w:rsidRPr="00B70E4B">
        <w:rPr>
          <w:sz w:val="22"/>
          <w:szCs w:val="22"/>
          <w:lang w:val="en-US"/>
        </w:rPr>
        <w:fldChar w:fldCharType="end"/>
      </w:r>
      <w:r w:rsidRPr="00B70E4B">
        <w:rPr>
          <w:sz w:val="22"/>
          <w:szCs w:val="22"/>
          <w:lang w:val="en-US"/>
        </w:rPr>
        <w:t xml:space="preserve"> we provide a proposal on and simulations of </w:t>
      </w:r>
      <w:r w:rsidR="00CD2F3F" w:rsidRPr="00B70E4B">
        <w:rPr>
          <w:sz w:val="22"/>
          <w:szCs w:val="22"/>
          <w:lang w:val="en-US"/>
        </w:rPr>
        <w:t xml:space="preserve">a congestion control mechanism for LTE, </w:t>
      </w:r>
      <w:r w:rsidRPr="00B70E4B">
        <w:rPr>
          <w:sz w:val="22"/>
          <w:szCs w:val="22"/>
          <w:lang w:val="en-US"/>
        </w:rPr>
        <w:t>channel busy ratio (CBR) measurement</w:t>
      </w:r>
      <w:r w:rsidR="00CD2F3F" w:rsidRPr="00B70E4B">
        <w:rPr>
          <w:sz w:val="22"/>
          <w:szCs w:val="22"/>
          <w:lang w:val="en-US"/>
        </w:rPr>
        <w:t>,</w:t>
      </w:r>
      <w:r w:rsidRPr="00B70E4B">
        <w:rPr>
          <w:sz w:val="22"/>
          <w:szCs w:val="22"/>
          <w:lang w:val="en-US"/>
        </w:rPr>
        <w:t xml:space="preserve"> that can be utilized by the NW and UE as described in </w:t>
      </w:r>
      <w:r w:rsidRPr="00B70E4B">
        <w:rPr>
          <w:sz w:val="22"/>
          <w:szCs w:val="22"/>
          <w:lang w:val="en-US"/>
        </w:rPr>
        <w:fldChar w:fldCharType="begin"/>
      </w:r>
      <w:r w:rsidRPr="00B70E4B">
        <w:rPr>
          <w:sz w:val="22"/>
          <w:szCs w:val="22"/>
          <w:lang w:val="en-US"/>
        </w:rPr>
        <w:instrText xml:space="preserve"> REF _Ref463002989 \r \h </w:instrText>
      </w:r>
      <w:r w:rsidRPr="00B70E4B">
        <w:rPr>
          <w:sz w:val="22"/>
          <w:szCs w:val="22"/>
          <w:lang w:val="en-US"/>
        </w:rPr>
      </w:r>
      <w:r w:rsidRPr="00B70E4B">
        <w:rPr>
          <w:sz w:val="22"/>
          <w:szCs w:val="22"/>
          <w:lang w:val="en-US"/>
        </w:rPr>
        <w:fldChar w:fldCharType="separate"/>
      </w:r>
      <w:r w:rsidR="002D1D2B" w:rsidRPr="00B70E4B">
        <w:rPr>
          <w:sz w:val="22"/>
          <w:szCs w:val="22"/>
          <w:lang w:val="en-US"/>
        </w:rPr>
        <w:t>[2]</w:t>
      </w:r>
      <w:r w:rsidRPr="00B70E4B">
        <w:rPr>
          <w:sz w:val="22"/>
          <w:szCs w:val="22"/>
          <w:lang w:val="en-US"/>
        </w:rPr>
        <w:fldChar w:fldCharType="end"/>
      </w:r>
      <w:r w:rsidRPr="00B70E4B">
        <w:rPr>
          <w:sz w:val="22"/>
          <w:szCs w:val="22"/>
          <w:lang w:val="en-US"/>
        </w:rPr>
        <w:t>.</w:t>
      </w:r>
    </w:p>
    <w:p w:rsidR="00B66648" w:rsidRPr="00B70E4B" w:rsidRDefault="00CD2F3F" w:rsidP="003A217B">
      <w:pPr>
        <w:pStyle w:val="BodyText"/>
        <w:spacing w:after="240"/>
        <w:jc w:val="both"/>
        <w:rPr>
          <w:sz w:val="22"/>
          <w:szCs w:val="22"/>
          <w:lang w:val="en-US"/>
        </w:rPr>
      </w:pPr>
      <w:r w:rsidRPr="00B70E4B">
        <w:rPr>
          <w:sz w:val="22"/>
          <w:szCs w:val="22"/>
          <w:lang w:val="en-US"/>
        </w:rPr>
        <w:t xml:space="preserve">In this contribution we provide the key points from </w:t>
      </w:r>
      <w:r w:rsidRPr="00B70E4B">
        <w:rPr>
          <w:sz w:val="22"/>
          <w:szCs w:val="22"/>
          <w:lang w:val="en-US"/>
        </w:rPr>
        <w:fldChar w:fldCharType="begin"/>
      </w:r>
      <w:r w:rsidRPr="00B70E4B">
        <w:rPr>
          <w:sz w:val="22"/>
          <w:szCs w:val="22"/>
          <w:lang w:val="en-US"/>
        </w:rPr>
        <w:instrText xml:space="preserve"> REF _Ref463002632 \r \h </w:instrText>
      </w:r>
      <w:r w:rsidRPr="00B70E4B">
        <w:rPr>
          <w:sz w:val="22"/>
          <w:szCs w:val="22"/>
          <w:lang w:val="en-US"/>
        </w:rPr>
      </w:r>
      <w:r w:rsidRPr="00B70E4B">
        <w:rPr>
          <w:sz w:val="22"/>
          <w:szCs w:val="22"/>
          <w:lang w:val="en-US"/>
        </w:rPr>
        <w:fldChar w:fldCharType="separate"/>
      </w:r>
      <w:r w:rsidR="002D1D2B" w:rsidRPr="00B70E4B">
        <w:rPr>
          <w:sz w:val="22"/>
          <w:szCs w:val="22"/>
          <w:lang w:val="en-US"/>
        </w:rPr>
        <w:t>[1]</w:t>
      </w:r>
      <w:r w:rsidRPr="00B70E4B">
        <w:rPr>
          <w:sz w:val="22"/>
          <w:szCs w:val="22"/>
          <w:lang w:val="en-US"/>
        </w:rPr>
        <w:fldChar w:fldCharType="end"/>
      </w:r>
      <w:r w:rsidRPr="00B70E4B">
        <w:rPr>
          <w:sz w:val="22"/>
          <w:szCs w:val="22"/>
          <w:lang w:val="en-US"/>
        </w:rPr>
        <w:t xml:space="preserve"> </w:t>
      </w:r>
      <w:r w:rsidR="003A217B" w:rsidRPr="00B70E4B">
        <w:rPr>
          <w:sz w:val="22"/>
          <w:szCs w:val="22"/>
          <w:lang w:val="en-US"/>
        </w:rPr>
        <w:t xml:space="preserve">with respect to foreseen activities for RAN4. CBR is defined, and simulation results reported that justify that CBR shall be based on measurements where the band of interest is partitioned into several subbands. </w:t>
      </w:r>
    </w:p>
    <w:p w:rsidR="00CD2F3F" w:rsidRPr="00B70E4B" w:rsidRDefault="00CD2F3F" w:rsidP="00CD2F3F">
      <w:pPr>
        <w:pStyle w:val="Heading1"/>
        <w:rPr>
          <w:lang w:val="en-US"/>
        </w:rPr>
      </w:pPr>
      <w:r w:rsidRPr="00B70E4B">
        <w:rPr>
          <w:lang w:val="en-US"/>
        </w:rPr>
        <w:t>Measurements for congestion control</w:t>
      </w:r>
    </w:p>
    <w:p w:rsidR="00CD2F3F" w:rsidRPr="00B70E4B" w:rsidRDefault="00CD2F3F" w:rsidP="00CD2F3F">
      <w:pPr>
        <w:pStyle w:val="Heading2"/>
        <w:rPr>
          <w:lang w:val="en-US"/>
        </w:rPr>
      </w:pPr>
      <w:r w:rsidRPr="00B70E4B">
        <w:rPr>
          <w:lang w:val="en-US"/>
        </w:rPr>
        <w:t>Channel busy ratio (CBR)</w:t>
      </w:r>
    </w:p>
    <w:p w:rsidR="00CD2F3F" w:rsidRPr="00B70E4B" w:rsidRDefault="00CD2F3F" w:rsidP="00CD2F3F">
      <w:pPr>
        <w:pStyle w:val="BodyText"/>
        <w:spacing w:after="240"/>
        <w:jc w:val="both"/>
        <w:rPr>
          <w:sz w:val="22"/>
          <w:szCs w:val="22"/>
          <w:lang w:val="en-US"/>
        </w:rPr>
      </w:pPr>
      <w:r w:rsidRPr="00B70E4B">
        <w:rPr>
          <w:sz w:val="22"/>
          <w:szCs w:val="22"/>
          <w:lang w:val="en-US"/>
        </w:rPr>
        <w:t xml:space="preserve">Congestion control is a mechanism to adapt the transmit behaviors of a node in the network based on the level of occupancy of the communication medium, also known as congestion level or network load. As such, the congestion control algorithm requires certain measures of the channel occupancy level as input. </w:t>
      </w:r>
    </w:p>
    <w:p w:rsidR="00CD2F3F" w:rsidRPr="00B70E4B" w:rsidRDefault="00CD2F3F" w:rsidP="00CD2F3F">
      <w:pPr>
        <w:pStyle w:val="BodyText"/>
        <w:spacing w:after="240"/>
        <w:jc w:val="both"/>
        <w:rPr>
          <w:sz w:val="22"/>
          <w:szCs w:val="22"/>
          <w:lang w:val="en-US"/>
        </w:rPr>
      </w:pPr>
      <w:r w:rsidRPr="00B70E4B">
        <w:rPr>
          <w:sz w:val="22"/>
          <w:szCs w:val="22"/>
          <w:lang w:val="en-US"/>
        </w:rPr>
        <w:t>In case of Decentralized congestion control (DCC) and Centralized congestion control (CCC) each individual UE measures the channel occupancy level by itself and passes the measurements to the congestion control functionalities residing inside the UE or the eNB. In any case the measurements by individual UEs are crucial, and therefore need to be specified by RAN.</w:t>
      </w:r>
    </w:p>
    <w:p w:rsidR="00CD2F3F" w:rsidRPr="00B70E4B" w:rsidRDefault="00CD2F3F" w:rsidP="00CD2F3F">
      <w:pPr>
        <w:pStyle w:val="BodyText"/>
        <w:spacing w:after="240"/>
        <w:rPr>
          <w:b/>
          <w:sz w:val="22"/>
          <w:szCs w:val="22"/>
          <w:lang w:val="en-US"/>
        </w:rPr>
      </w:pPr>
      <w:r w:rsidRPr="00B70E4B">
        <w:rPr>
          <w:b/>
          <w:sz w:val="22"/>
          <w:szCs w:val="22"/>
          <w:lang w:val="en-US"/>
        </w:rPr>
        <w:t xml:space="preserve">Observation 1: </w:t>
      </w:r>
    </w:p>
    <w:p w:rsidR="00CD2F3F" w:rsidRPr="00B70E4B" w:rsidRDefault="00CD2F3F" w:rsidP="00CD2F3F">
      <w:pPr>
        <w:pStyle w:val="BodyText"/>
        <w:numPr>
          <w:ilvl w:val="0"/>
          <w:numId w:val="13"/>
        </w:numPr>
        <w:spacing w:after="240"/>
        <w:jc w:val="both"/>
        <w:rPr>
          <w:b/>
          <w:sz w:val="22"/>
          <w:szCs w:val="22"/>
          <w:lang w:val="en-US"/>
        </w:rPr>
      </w:pPr>
      <w:r w:rsidRPr="00B70E4B">
        <w:rPr>
          <w:b/>
          <w:sz w:val="22"/>
          <w:szCs w:val="22"/>
          <w:lang w:val="en-US"/>
        </w:rPr>
        <w:t xml:space="preserve">The channel occupancy level is crucial for the congestion control algorithms. </w:t>
      </w:r>
    </w:p>
    <w:p w:rsidR="00CD2F3F" w:rsidRPr="00B70E4B" w:rsidRDefault="00CD2F3F" w:rsidP="00CD2F3F">
      <w:pPr>
        <w:pStyle w:val="BodyText"/>
        <w:spacing w:after="240"/>
        <w:jc w:val="both"/>
        <w:rPr>
          <w:sz w:val="22"/>
          <w:szCs w:val="22"/>
          <w:lang w:val="en-US"/>
        </w:rPr>
      </w:pPr>
      <w:r w:rsidRPr="00B70E4B">
        <w:rPr>
          <w:sz w:val="22"/>
          <w:szCs w:val="22"/>
          <w:lang w:val="en-US"/>
        </w:rPr>
        <w:t xml:space="preserve">The most common way of obtaining channel occupancy level is by measuring the energy level in the radio resources over which the communications takes place. As a baseline, in </w:t>
      </w:r>
      <w:r w:rsidRPr="00B70E4B">
        <w:rPr>
          <w:sz w:val="22"/>
          <w:szCs w:val="22"/>
          <w:lang w:val="en-US"/>
        </w:rPr>
        <w:fldChar w:fldCharType="begin"/>
      </w:r>
      <w:r w:rsidRPr="00B70E4B">
        <w:rPr>
          <w:sz w:val="22"/>
          <w:szCs w:val="22"/>
          <w:lang w:val="en-US"/>
        </w:rPr>
        <w:instrText xml:space="preserve"> REF _Ref462753210 \r \h  \* MERGEFORMAT </w:instrText>
      </w:r>
      <w:r w:rsidRPr="00B70E4B">
        <w:rPr>
          <w:sz w:val="22"/>
          <w:szCs w:val="22"/>
          <w:lang w:val="en-US"/>
        </w:rPr>
      </w:r>
      <w:r w:rsidRPr="00B70E4B">
        <w:rPr>
          <w:sz w:val="22"/>
          <w:szCs w:val="22"/>
          <w:lang w:val="en-US"/>
        </w:rPr>
        <w:fldChar w:fldCharType="separate"/>
      </w:r>
      <w:r w:rsidR="002D1D2B" w:rsidRPr="00B70E4B">
        <w:rPr>
          <w:sz w:val="22"/>
          <w:szCs w:val="22"/>
          <w:lang w:val="en-US"/>
        </w:rPr>
        <w:t>[3]</w:t>
      </w:r>
      <w:r w:rsidRPr="00B70E4B">
        <w:rPr>
          <w:sz w:val="22"/>
          <w:szCs w:val="22"/>
          <w:lang w:val="en-US"/>
        </w:rPr>
        <w:fldChar w:fldCharType="end"/>
      </w:r>
      <w:r w:rsidRPr="00B70E4B">
        <w:rPr>
          <w:sz w:val="22"/>
          <w:szCs w:val="22"/>
          <w:lang w:val="en-US"/>
        </w:rPr>
        <w:fldChar w:fldCharType="begin"/>
      </w:r>
      <w:r w:rsidRPr="00B70E4B">
        <w:rPr>
          <w:sz w:val="22"/>
          <w:szCs w:val="22"/>
          <w:lang w:val="en-US"/>
        </w:rPr>
        <w:instrText xml:space="preserve"> REF _Ref450814624 \r \h  \* MERGEFORMAT </w:instrText>
      </w:r>
      <w:r w:rsidRPr="00B70E4B">
        <w:rPr>
          <w:sz w:val="22"/>
          <w:szCs w:val="22"/>
          <w:lang w:val="en-US"/>
        </w:rPr>
      </w:r>
      <w:r w:rsidRPr="00B70E4B">
        <w:rPr>
          <w:sz w:val="22"/>
          <w:szCs w:val="22"/>
          <w:lang w:val="en-US"/>
        </w:rPr>
        <w:fldChar w:fldCharType="separate"/>
      </w:r>
      <w:r w:rsidR="002D1D2B" w:rsidRPr="00B70E4B">
        <w:rPr>
          <w:sz w:val="22"/>
          <w:szCs w:val="22"/>
          <w:lang w:val="en-US"/>
        </w:rPr>
        <w:t>[4]</w:t>
      </w:r>
      <w:r w:rsidRPr="00B70E4B">
        <w:rPr>
          <w:sz w:val="22"/>
          <w:szCs w:val="22"/>
          <w:lang w:val="en-US"/>
        </w:rPr>
        <w:fldChar w:fldCharType="end"/>
      </w:r>
      <w:r w:rsidRPr="00B70E4B">
        <w:rPr>
          <w:sz w:val="22"/>
          <w:szCs w:val="22"/>
          <w:lang w:val="en-US"/>
        </w:rPr>
        <w:t xml:space="preserve"> a measure called </w:t>
      </w:r>
      <w:r w:rsidRPr="00B70E4B">
        <w:rPr>
          <w:i/>
          <w:sz w:val="22"/>
          <w:szCs w:val="22"/>
          <w:lang w:val="en-US"/>
        </w:rPr>
        <w:t>Channel Busy Ratio</w:t>
      </w:r>
      <w:r w:rsidRPr="00B70E4B">
        <w:rPr>
          <w:sz w:val="22"/>
          <w:szCs w:val="22"/>
          <w:lang w:val="en-US"/>
        </w:rPr>
        <w:t xml:space="preserve"> (CBR) has been defined and is determined as follows:</w:t>
      </w:r>
    </w:p>
    <w:p w:rsidR="00CD2F3F" w:rsidRPr="00B70E4B" w:rsidRDefault="00AB210E" w:rsidP="00CD2F3F">
      <w:pPr>
        <w:pStyle w:val="BodyText"/>
        <w:numPr>
          <w:ilvl w:val="0"/>
          <w:numId w:val="14"/>
        </w:numPr>
        <w:spacing w:after="240"/>
        <w:jc w:val="both"/>
        <w:rPr>
          <w:sz w:val="22"/>
          <w:szCs w:val="22"/>
          <w:lang w:val="en-US"/>
        </w:rPr>
      </w:pPr>
      <m:oMath>
        <m:sSub>
          <m:sSubPr>
            <m:ctrlPr>
              <w:rPr>
                <w:rFonts w:ascii="Cambria Math" w:hAnsi="Cambria Math"/>
                <w:sz w:val="22"/>
                <w:szCs w:val="22"/>
                <w:lang w:val="en-US"/>
              </w:rPr>
            </m:ctrlPr>
          </m:sSubPr>
          <m:e>
            <m:r>
              <m:rPr>
                <m:sty m:val="p"/>
              </m:rPr>
              <w:rPr>
                <w:rFonts w:ascii="Cambria Math" w:hAnsi="Cambria Math"/>
                <w:sz w:val="22"/>
                <w:szCs w:val="22"/>
                <w:lang w:val="en-US"/>
              </w:rPr>
              <m:t>N</m:t>
            </m:r>
          </m:e>
          <m:sub>
            <m:r>
              <m:rPr>
                <m:sty m:val="p"/>
              </m:rPr>
              <w:rPr>
                <w:rFonts w:ascii="Cambria Math" w:hAnsi="Cambria Math"/>
                <w:sz w:val="22"/>
                <w:szCs w:val="22"/>
                <w:lang w:val="en-US"/>
              </w:rPr>
              <m:t>p</m:t>
            </m:r>
          </m:sub>
        </m:sSub>
      </m:oMath>
      <w:r w:rsidR="00CD2F3F" w:rsidRPr="00B70E4B">
        <w:rPr>
          <w:sz w:val="22"/>
          <w:szCs w:val="22"/>
          <w:lang w:val="en-US"/>
        </w:rPr>
        <w:t xml:space="preserve"> probes of the receive signal are taken uniformly distributed within the measuring interval </w:t>
      </w:r>
      <m:oMath>
        <m:sSub>
          <m:sSubPr>
            <m:ctrlPr>
              <w:rPr>
                <w:rFonts w:ascii="Cambria Math" w:hAnsi="Cambria Math"/>
                <w:sz w:val="22"/>
                <w:szCs w:val="22"/>
                <w:lang w:val="en-US"/>
              </w:rPr>
            </m:ctrlPr>
          </m:sSubPr>
          <m:e>
            <m:r>
              <m:rPr>
                <m:sty m:val="p"/>
              </m:rPr>
              <w:rPr>
                <w:rFonts w:ascii="Cambria Math" w:hAnsi="Cambria Math"/>
                <w:sz w:val="22"/>
                <w:szCs w:val="22"/>
                <w:lang w:val="en-US"/>
              </w:rPr>
              <m:t>T</m:t>
            </m:r>
          </m:e>
          <m:sub>
            <m:r>
              <m:rPr>
                <m:sty m:val="p"/>
              </m:rPr>
              <w:rPr>
                <w:rFonts w:ascii="Cambria Math" w:hAnsi="Cambria Math"/>
                <w:sz w:val="22"/>
                <w:szCs w:val="22"/>
                <w:lang w:val="en-US"/>
              </w:rPr>
              <m:t>m</m:t>
            </m:r>
          </m:sub>
        </m:sSub>
      </m:oMath>
      <w:r w:rsidR="00CD2F3F" w:rsidRPr="00B70E4B">
        <w:rPr>
          <w:sz w:val="22"/>
          <w:szCs w:val="22"/>
          <w:lang w:val="en-US"/>
        </w:rPr>
        <w:t xml:space="preserve">. </w:t>
      </w:r>
    </w:p>
    <w:p w:rsidR="00CD2F3F" w:rsidRPr="00B70E4B" w:rsidRDefault="00CD2F3F" w:rsidP="00CD2F3F">
      <w:pPr>
        <w:pStyle w:val="BodyText"/>
        <w:numPr>
          <w:ilvl w:val="0"/>
          <w:numId w:val="14"/>
        </w:numPr>
        <w:spacing w:after="240"/>
        <w:jc w:val="both"/>
        <w:rPr>
          <w:sz w:val="22"/>
          <w:szCs w:val="22"/>
          <w:lang w:val="en-US"/>
        </w:rPr>
      </w:pPr>
      <w:r w:rsidRPr="00B70E4B">
        <w:rPr>
          <w:sz w:val="22"/>
          <w:szCs w:val="22"/>
          <w:lang w:val="en-US"/>
        </w:rPr>
        <w:t xml:space="preserve">For all channel probes (of length </w:t>
      </w:r>
      <m:oMath>
        <m:sSub>
          <m:sSubPr>
            <m:ctrlPr>
              <w:rPr>
                <w:rFonts w:ascii="Cambria Math" w:hAnsi="Cambria Math"/>
                <w:sz w:val="22"/>
                <w:szCs w:val="22"/>
                <w:lang w:val="en-US"/>
              </w:rPr>
            </m:ctrlPr>
          </m:sSubPr>
          <m:e>
            <m:r>
              <m:rPr>
                <m:sty m:val="p"/>
              </m:rPr>
              <w:rPr>
                <w:rFonts w:ascii="Cambria Math" w:hAnsi="Cambria Math"/>
                <w:sz w:val="22"/>
                <w:szCs w:val="22"/>
                <w:lang w:val="en-US"/>
              </w:rPr>
              <m:t>T</m:t>
            </m:r>
          </m:e>
          <m:sub>
            <m:r>
              <m:rPr>
                <m:sty m:val="p"/>
              </m:rPr>
              <w:rPr>
                <w:rFonts w:ascii="Cambria Math" w:hAnsi="Cambria Math"/>
                <w:sz w:val="22"/>
                <w:szCs w:val="22"/>
                <w:lang w:val="en-US"/>
              </w:rPr>
              <m:t>p</m:t>
            </m:r>
          </m:sub>
        </m:sSub>
      </m:oMath>
      <w:r w:rsidRPr="00B70E4B">
        <w:rPr>
          <w:sz w:val="22"/>
          <w:szCs w:val="22"/>
          <w:lang w:val="en-US"/>
        </w:rPr>
        <w:t xml:space="preserve">) the average signal level S is determined. </w:t>
      </w:r>
    </w:p>
    <w:p w:rsidR="00CD2F3F" w:rsidRPr="00B70E4B" w:rsidRDefault="00CD2F3F" w:rsidP="00CD2F3F">
      <w:pPr>
        <w:pStyle w:val="BodyText"/>
        <w:numPr>
          <w:ilvl w:val="0"/>
          <w:numId w:val="14"/>
        </w:numPr>
        <w:spacing w:after="240"/>
        <w:jc w:val="both"/>
        <w:rPr>
          <w:sz w:val="22"/>
          <w:szCs w:val="22"/>
          <w:lang w:val="en-US"/>
        </w:rPr>
      </w:pPr>
      <w:r w:rsidRPr="00B70E4B">
        <w:rPr>
          <w:sz w:val="22"/>
          <w:szCs w:val="22"/>
          <w:lang w:val="en-US"/>
        </w:rPr>
        <w:t xml:space="preserve">CBR measured for the receive signal level threshold </w:t>
      </w:r>
      <m:oMath>
        <m:sSub>
          <m:sSubPr>
            <m:ctrlPr>
              <w:rPr>
                <w:rFonts w:ascii="Cambria Math" w:hAnsi="Cambria Math"/>
                <w:sz w:val="22"/>
                <w:szCs w:val="22"/>
                <w:lang w:val="en-US"/>
              </w:rPr>
            </m:ctrlPr>
          </m:sSubPr>
          <m:e>
            <m:r>
              <m:rPr>
                <m:sty m:val="p"/>
              </m:rPr>
              <w:rPr>
                <w:rFonts w:ascii="Cambria Math" w:hAnsi="Cambria Math"/>
                <w:sz w:val="22"/>
                <w:szCs w:val="22"/>
                <w:lang w:val="en-US"/>
              </w:rPr>
              <m:t>S</m:t>
            </m:r>
          </m:e>
          <m:sub>
            <m:r>
              <m:rPr>
                <m:sty m:val="p"/>
              </m:rPr>
              <w:rPr>
                <w:rFonts w:ascii="Cambria Math" w:hAnsi="Cambria Math"/>
                <w:sz w:val="22"/>
                <w:szCs w:val="22"/>
                <w:lang w:val="en-US"/>
              </w:rPr>
              <m:t>th</m:t>
            </m:r>
          </m:sub>
        </m:sSub>
      </m:oMath>
      <w:r w:rsidRPr="00B70E4B">
        <w:rPr>
          <w:sz w:val="22"/>
          <w:szCs w:val="22"/>
          <w:lang w:val="en-US"/>
        </w:rPr>
        <w:t xml:space="preserve"> is given as:</w:t>
      </w:r>
    </w:p>
    <w:p w:rsidR="00CD2F3F" w:rsidRPr="00B70E4B" w:rsidRDefault="00CD2F3F" w:rsidP="00CD2F3F">
      <w:pPr>
        <w:pStyle w:val="BodyText"/>
        <w:spacing w:after="240"/>
        <w:ind w:left="720"/>
        <w:jc w:val="center"/>
        <w:rPr>
          <w:i/>
          <w:sz w:val="22"/>
          <w:szCs w:val="22"/>
          <w:lang w:val="en-US"/>
        </w:rPr>
      </w:pPr>
      <m:oMathPara>
        <m:oMath>
          <m:r>
            <w:rPr>
              <w:rFonts w:ascii="Cambria Math" w:hAnsi="Cambria Math" w:cs="Cambria Math"/>
              <w:sz w:val="22"/>
              <w:szCs w:val="22"/>
              <w:lang w:val="en-US"/>
            </w:rPr>
            <m:t>CBR</m:t>
          </m:r>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S</m:t>
              </m:r>
            </m:e>
            <m:sub>
              <m:r>
                <w:rPr>
                  <w:rFonts w:ascii="Cambria Math" w:hAnsi="Cambria Math"/>
                  <w:sz w:val="22"/>
                  <w:szCs w:val="22"/>
                  <w:lang w:val="en-US"/>
                </w:rPr>
                <m:t>th</m:t>
              </m:r>
            </m:sub>
          </m:sSub>
          <m:r>
            <w:rPr>
              <w:rFonts w:ascii="Cambria Math" w:hAnsi="Cambria Math"/>
              <w:sz w:val="22"/>
              <w:szCs w:val="22"/>
              <w:lang w:val="en-US"/>
            </w:rPr>
            <m:t>)</m:t>
          </m:r>
          <m:r>
            <m:rPr>
              <m:sty m:val="p"/>
            </m:rPr>
            <w:rPr>
              <w:rFonts w:ascii="Cambria Math" w:hAnsi="Cambria Math" w:cs="Cambria Math"/>
              <w:sz w:val="22"/>
              <w:szCs w:val="22"/>
              <w:lang w:val="en-US"/>
            </w:rPr>
            <m:t>=</m:t>
          </m:r>
          <m:f>
            <m:fPr>
              <m:ctrlPr>
                <w:rPr>
                  <w:rFonts w:ascii="Cambria Math" w:hAnsi="Cambria Math"/>
                  <w:sz w:val="22"/>
                  <w:szCs w:val="22"/>
                  <w:lang w:val="en-US"/>
                </w:rPr>
              </m:ctrlPr>
            </m:fPr>
            <m:num>
              <m:r>
                <w:rPr>
                  <w:rFonts w:ascii="Cambria Math" w:hAnsi="Cambria Math"/>
                  <w:sz w:val="22"/>
                  <w:szCs w:val="22"/>
                  <w:lang w:val="en-US"/>
                </w:rPr>
                <m:t xml:space="preserve">∑ (1 </m:t>
              </m:r>
              <m:r>
                <w:rPr>
                  <w:rFonts w:ascii="Cambria Math" w:hAnsi="Cambria Math" w:cs="Cambria Math"/>
                  <w:sz w:val="22"/>
                  <w:szCs w:val="22"/>
                  <w:lang w:val="en-US"/>
                </w:rPr>
                <m:t>∀</m:t>
              </m:r>
              <m:r>
                <w:rPr>
                  <w:rFonts w:ascii="Cambria Math" w:hAnsi="Cambria Math"/>
                  <w:sz w:val="22"/>
                  <w:szCs w:val="22"/>
                  <w:lang w:val="en-US"/>
                </w:rPr>
                <m:t xml:space="preserve"> probes with S&gt;</m:t>
              </m:r>
              <m:sSub>
                <m:sSubPr>
                  <m:ctrlPr>
                    <w:rPr>
                      <w:rFonts w:ascii="Cambria Math" w:hAnsi="Cambria Math"/>
                      <w:i/>
                      <w:sz w:val="22"/>
                      <w:szCs w:val="22"/>
                      <w:lang w:val="en-US"/>
                    </w:rPr>
                  </m:ctrlPr>
                </m:sSubPr>
                <m:e>
                  <m:r>
                    <w:rPr>
                      <w:rFonts w:ascii="Cambria Math" w:hAnsi="Cambria Math"/>
                      <w:sz w:val="22"/>
                      <w:szCs w:val="22"/>
                      <w:lang w:val="en-US"/>
                    </w:rPr>
                    <m:t>S</m:t>
                  </m:r>
                </m:e>
                <m:sub>
                  <m:r>
                    <w:rPr>
                      <w:rFonts w:ascii="Cambria Math" w:hAnsi="Cambria Math"/>
                      <w:sz w:val="22"/>
                      <w:szCs w:val="22"/>
                      <w:lang w:val="en-US"/>
                    </w:rPr>
                    <m:t>th</m:t>
                  </m:r>
                </m:sub>
              </m:sSub>
              <m:r>
                <w:rPr>
                  <w:rFonts w:ascii="Cambria Math" w:hAnsi="Cambria Math"/>
                  <w:sz w:val="22"/>
                  <w:szCs w:val="22"/>
                  <w:lang w:val="en-US"/>
                </w:rPr>
                <m:t>)</m:t>
              </m:r>
            </m:num>
            <m:den>
              <m:sSub>
                <m:sSubPr>
                  <m:ctrlPr>
                    <w:rPr>
                      <w:rFonts w:ascii="Cambria Math" w:hAnsi="Cambria Math" w:cs="Cambria Math"/>
                      <w:sz w:val="22"/>
                      <w:szCs w:val="22"/>
                      <w:lang w:val="en-US"/>
                    </w:rPr>
                  </m:ctrlPr>
                </m:sSubPr>
                <m:e>
                  <m:r>
                    <m:rPr>
                      <m:sty m:val="p"/>
                    </m:rPr>
                    <w:rPr>
                      <w:rFonts w:ascii="Cambria Math" w:hAnsi="Cambria Math" w:cs="Cambria Math"/>
                      <w:sz w:val="22"/>
                      <w:szCs w:val="22"/>
                      <w:lang w:val="en-US"/>
                    </w:rPr>
                    <m:t>N</m:t>
                  </m:r>
                </m:e>
                <m:sub>
                  <m:r>
                    <m:rPr>
                      <m:sty m:val="p"/>
                    </m:rPr>
                    <w:rPr>
                      <w:rFonts w:ascii="Cambria Math" w:hAnsi="Cambria Math" w:cs="Cambria Math"/>
                      <w:sz w:val="22"/>
                      <w:szCs w:val="22"/>
                      <w:lang w:val="en-US"/>
                    </w:rPr>
                    <m:t>p</m:t>
                  </m:r>
                </m:sub>
              </m:sSub>
            </m:den>
          </m:f>
        </m:oMath>
      </m:oMathPara>
    </w:p>
    <w:p w:rsidR="00CD2F3F" w:rsidRPr="00B70E4B" w:rsidRDefault="00CD2F3F" w:rsidP="00CD2F3F">
      <w:pPr>
        <w:pStyle w:val="BodyText"/>
        <w:spacing w:after="240"/>
        <w:jc w:val="both"/>
        <w:rPr>
          <w:sz w:val="22"/>
          <w:szCs w:val="22"/>
          <w:lang w:val="en-US"/>
        </w:rPr>
      </w:pPr>
      <w:r w:rsidRPr="00B70E4B">
        <w:rPr>
          <w:sz w:val="22"/>
          <w:szCs w:val="22"/>
          <w:lang w:val="en-US"/>
        </w:rPr>
        <w:t xml:space="preserve">In </w:t>
      </w:r>
      <w:r w:rsidRPr="00B70E4B">
        <w:rPr>
          <w:sz w:val="22"/>
          <w:szCs w:val="22"/>
          <w:lang w:val="en-US"/>
        </w:rPr>
        <w:fldChar w:fldCharType="begin"/>
      </w:r>
      <w:r w:rsidRPr="00B70E4B">
        <w:rPr>
          <w:sz w:val="22"/>
          <w:szCs w:val="22"/>
          <w:lang w:val="en-US"/>
        </w:rPr>
        <w:instrText xml:space="preserve"> REF _Ref462753210 \r \h  \* MERGEFORMAT </w:instrText>
      </w:r>
      <w:r w:rsidRPr="00B70E4B">
        <w:rPr>
          <w:sz w:val="22"/>
          <w:szCs w:val="22"/>
          <w:lang w:val="en-US"/>
        </w:rPr>
      </w:r>
      <w:r w:rsidRPr="00B70E4B">
        <w:rPr>
          <w:sz w:val="22"/>
          <w:szCs w:val="22"/>
          <w:lang w:val="en-US"/>
        </w:rPr>
        <w:fldChar w:fldCharType="separate"/>
      </w:r>
      <w:r w:rsidR="002D1D2B" w:rsidRPr="00B70E4B">
        <w:rPr>
          <w:sz w:val="22"/>
          <w:szCs w:val="22"/>
          <w:lang w:val="en-US"/>
        </w:rPr>
        <w:t>[3]</w:t>
      </w:r>
      <w:r w:rsidRPr="00B70E4B">
        <w:rPr>
          <w:sz w:val="22"/>
          <w:szCs w:val="22"/>
          <w:lang w:val="en-US"/>
        </w:rPr>
        <w:fldChar w:fldCharType="end"/>
      </w:r>
      <w:r w:rsidRPr="00B70E4B">
        <w:rPr>
          <w:sz w:val="22"/>
          <w:szCs w:val="22"/>
          <w:lang w:val="en-US"/>
        </w:rPr>
        <w:t xml:space="preserve"> the limiting values for the above parameters were indicated as follows: </w:t>
      </w:r>
      <m:oMath>
        <m:sSub>
          <m:sSubPr>
            <m:ctrlPr>
              <w:rPr>
                <w:rFonts w:ascii="Cambria Math" w:hAnsi="Cambria Math"/>
                <w:i/>
                <w:sz w:val="22"/>
                <w:szCs w:val="22"/>
                <w:lang w:val="en-US"/>
              </w:rPr>
            </m:ctrlPr>
          </m:sSubPr>
          <m:e>
            <m:r>
              <w:rPr>
                <w:rFonts w:ascii="Cambria Math" w:hAnsi="Cambria Math"/>
                <w:sz w:val="22"/>
                <w:szCs w:val="22"/>
                <w:lang w:val="en-US"/>
              </w:rPr>
              <m:t>T</m:t>
            </m:r>
          </m:e>
          <m:sub>
            <m:r>
              <w:rPr>
                <w:rFonts w:ascii="Cambria Math" w:hAnsi="Cambria Math"/>
                <w:sz w:val="22"/>
                <w:szCs w:val="22"/>
                <w:lang w:val="en-US"/>
              </w:rPr>
              <m:t>p</m:t>
            </m:r>
          </m:sub>
        </m:sSub>
        <m:r>
          <w:rPr>
            <w:rFonts w:ascii="Cambria Math" w:hAnsi="Cambria Math"/>
            <w:sz w:val="22"/>
            <w:szCs w:val="22"/>
            <w:lang w:val="en-US"/>
          </w:rPr>
          <m:t>=8µs</m:t>
        </m:r>
      </m:oMath>
      <w:r w:rsidRPr="00B70E4B">
        <w:rPr>
          <w:sz w:val="22"/>
          <w:szCs w:val="22"/>
          <w:lang w:val="en-US"/>
        </w:rPr>
        <w:t xml:space="preserve">, </w:t>
      </w:r>
      <m:oMath>
        <m:sSub>
          <m:sSubPr>
            <m:ctrlPr>
              <w:rPr>
                <w:rFonts w:ascii="Cambria Math" w:hAnsi="Cambria Math"/>
                <w:i/>
                <w:sz w:val="22"/>
                <w:szCs w:val="22"/>
                <w:lang w:val="en-US"/>
              </w:rPr>
            </m:ctrlPr>
          </m:sSubPr>
          <m:e>
            <m:r>
              <w:rPr>
                <w:rFonts w:ascii="Cambria Math" w:hAnsi="Cambria Math"/>
                <w:sz w:val="22"/>
                <w:szCs w:val="22"/>
                <w:lang w:val="en-US"/>
              </w:rPr>
              <m:t>T</m:t>
            </m:r>
          </m:e>
          <m:sub>
            <m:r>
              <w:rPr>
                <w:rFonts w:ascii="Cambria Math" w:hAnsi="Cambria Math"/>
                <w:sz w:val="22"/>
                <w:szCs w:val="22"/>
                <w:lang w:val="en-US"/>
              </w:rPr>
              <m:t>m</m:t>
            </m:r>
          </m:sub>
        </m:sSub>
        <m:r>
          <w:rPr>
            <w:rFonts w:ascii="Cambria Math" w:hAnsi="Cambria Math"/>
            <w:sz w:val="22"/>
            <w:szCs w:val="22"/>
            <w:lang w:val="en-US"/>
          </w:rPr>
          <m:t>= 100 ms</m:t>
        </m:r>
      </m:oMath>
      <w:r w:rsidRPr="00B70E4B">
        <w:rPr>
          <w:sz w:val="22"/>
          <w:szCs w:val="22"/>
          <w:lang w:val="en-US"/>
        </w:rPr>
        <w:t xml:space="preserve">, </w:t>
      </w:r>
      <m:oMath>
        <m:sSub>
          <m:sSubPr>
            <m:ctrlPr>
              <w:rPr>
                <w:rFonts w:ascii="Cambria Math" w:hAnsi="Cambria Math"/>
                <w:i/>
                <w:sz w:val="22"/>
                <w:szCs w:val="22"/>
                <w:lang w:val="en-US"/>
              </w:rPr>
            </m:ctrlPr>
          </m:sSubPr>
          <m:e>
            <m:r>
              <w:rPr>
                <w:rFonts w:ascii="Cambria Math" w:hAnsi="Cambria Math"/>
                <w:sz w:val="22"/>
                <w:szCs w:val="22"/>
                <w:lang w:val="en-US"/>
              </w:rPr>
              <m:t>S</m:t>
            </m:r>
          </m:e>
          <m:sub>
            <m:r>
              <w:rPr>
                <w:rFonts w:ascii="Cambria Math" w:hAnsi="Cambria Math"/>
                <w:sz w:val="22"/>
                <w:szCs w:val="22"/>
                <w:lang w:val="en-US"/>
              </w:rPr>
              <m:t>th</m:t>
            </m:r>
          </m:sub>
        </m:sSub>
        <m:r>
          <w:rPr>
            <w:rFonts w:ascii="Cambria Math" w:hAnsi="Cambria Math"/>
            <w:sz w:val="22"/>
            <w:szCs w:val="22"/>
            <w:lang w:val="en-US"/>
          </w:rPr>
          <m:t>≤ -85dBm</m:t>
        </m:r>
      </m:oMath>
      <w:r w:rsidRPr="00B70E4B">
        <w:rPr>
          <w:sz w:val="22"/>
          <w:szCs w:val="22"/>
          <w:lang w:val="en-US"/>
        </w:rPr>
        <w:t xml:space="preserve">, </w:t>
      </w:r>
      <m:oMath>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p</m:t>
            </m:r>
          </m:sub>
        </m:sSub>
        <m:r>
          <w:rPr>
            <w:rFonts w:ascii="Cambria Math" w:hAnsi="Cambria Math"/>
            <w:sz w:val="22"/>
            <w:szCs w:val="22"/>
            <w:lang w:val="en-US"/>
          </w:rPr>
          <m:t>=12500</m:t>
        </m:r>
      </m:oMath>
      <w:r w:rsidRPr="00B70E4B">
        <w:rPr>
          <w:sz w:val="22"/>
          <w:szCs w:val="22"/>
          <w:lang w:val="en-US"/>
        </w:rPr>
        <w:t xml:space="preserve">. We observed that the CBR as defined above can be used in 3GPP as the channel </w:t>
      </w:r>
      <w:r w:rsidRPr="00B70E4B">
        <w:rPr>
          <w:sz w:val="22"/>
          <w:szCs w:val="22"/>
          <w:lang w:val="en-US"/>
        </w:rPr>
        <w:lastRenderedPageBreak/>
        <w:t xml:space="preserve">occupancy level, provided we have appropriate design of the method to determine S (sensing) and of parameters </w:t>
      </w:r>
      <m:oMath>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p</m:t>
            </m:r>
          </m:sub>
        </m:sSub>
        <m:r>
          <w:rPr>
            <w:rFonts w:ascii="Cambria Math" w:hAnsi="Cambria Math"/>
            <w:sz w:val="22"/>
            <w:szCs w:val="22"/>
            <w:lang w:val="en-US"/>
          </w:rPr>
          <m:t xml:space="preserve">, </m:t>
        </m:r>
        <m:sSub>
          <m:sSubPr>
            <m:ctrlPr>
              <w:rPr>
                <w:rFonts w:ascii="Cambria Math" w:hAnsi="Cambria Math"/>
                <w:i/>
                <w:sz w:val="22"/>
                <w:szCs w:val="22"/>
                <w:lang w:val="en-US"/>
              </w:rPr>
            </m:ctrlPr>
          </m:sSubPr>
          <m:e>
            <m:r>
              <w:rPr>
                <w:rFonts w:ascii="Cambria Math" w:hAnsi="Cambria Math"/>
                <w:sz w:val="22"/>
                <w:szCs w:val="22"/>
                <w:lang w:val="en-US"/>
              </w:rPr>
              <m:t>T</m:t>
            </m:r>
          </m:e>
          <m:sub>
            <m:r>
              <w:rPr>
                <w:rFonts w:ascii="Cambria Math" w:hAnsi="Cambria Math"/>
                <w:sz w:val="22"/>
                <w:szCs w:val="22"/>
                <w:lang w:val="en-US"/>
              </w:rPr>
              <m:t>m</m:t>
            </m:r>
          </m:sub>
        </m:sSub>
        <m:r>
          <w:rPr>
            <w:rFonts w:ascii="Cambria Math" w:hAnsi="Cambria Math"/>
            <w:sz w:val="22"/>
            <w:szCs w:val="22"/>
            <w:lang w:val="en-US"/>
          </w:rPr>
          <m:t xml:space="preserve">, </m:t>
        </m:r>
        <m:sSub>
          <m:sSubPr>
            <m:ctrlPr>
              <w:rPr>
                <w:rFonts w:ascii="Cambria Math" w:hAnsi="Cambria Math"/>
                <w:i/>
                <w:sz w:val="22"/>
                <w:szCs w:val="22"/>
                <w:lang w:val="en-US"/>
              </w:rPr>
            </m:ctrlPr>
          </m:sSubPr>
          <m:e>
            <m:r>
              <w:rPr>
                <w:rFonts w:ascii="Cambria Math" w:hAnsi="Cambria Math"/>
                <w:sz w:val="22"/>
                <w:szCs w:val="22"/>
                <w:lang w:val="en-US"/>
              </w:rPr>
              <m:t>T</m:t>
            </m:r>
          </m:e>
          <m:sub>
            <m:r>
              <w:rPr>
                <w:rFonts w:ascii="Cambria Math" w:hAnsi="Cambria Math"/>
                <w:sz w:val="22"/>
                <w:szCs w:val="22"/>
                <w:lang w:val="en-US"/>
              </w:rPr>
              <m:t>p</m:t>
            </m:r>
          </m:sub>
        </m:sSub>
        <m:r>
          <w:rPr>
            <w:rFonts w:ascii="Cambria Math" w:hAnsi="Cambria Math"/>
            <w:sz w:val="22"/>
            <w:szCs w:val="22"/>
            <w:lang w:val="en-US"/>
          </w:rPr>
          <m:t xml:space="preserve">, </m:t>
        </m:r>
        <m:sSub>
          <m:sSubPr>
            <m:ctrlPr>
              <w:rPr>
                <w:rFonts w:ascii="Cambria Math" w:hAnsi="Cambria Math"/>
                <w:i/>
                <w:sz w:val="22"/>
                <w:szCs w:val="22"/>
                <w:lang w:val="en-US"/>
              </w:rPr>
            </m:ctrlPr>
          </m:sSubPr>
          <m:e>
            <m:r>
              <m:rPr>
                <m:sty m:val="p"/>
              </m:rPr>
              <w:rPr>
                <w:rFonts w:ascii="Cambria Math" w:hAnsi="Cambria Math"/>
                <w:sz w:val="22"/>
                <w:szCs w:val="22"/>
                <w:lang w:val="en-US"/>
              </w:rPr>
              <m:t xml:space="preserve">and </m:t>
            </m:r>
            <m:r>
              <w:rPr>
                <w:rFonts w:ascii="Cambria Math" w:hAnsi="Cambria Math"/>
                <w:sz w:val="22"/>
                <w:szCs w:val="22"/>
                <w:lang w:val="en-US"/>
              </w:rPr>
              <m:t>S</m:t>
            </m:r>
          </m:e>
          <m:sub>
            <m:r>
              <w:rPr>
                <w:rFonts w:ascii="Cambria Math" w:hAnsi="Cambria Math"/>
                <w:sz w:val="22"/>
                <w:szCs w:val="22"/>
                <w:lang w:val="en-US"/>
              </w:rPr>
              <m:t>th</m:t>
            </m:r>
          </m:sub>
        </m:sSub>
      </m:oMath>
      <w:r w:rsidRPr="00B70E4B">
        <w:rPr>
          <w:sz w:val="22"/>
          <w:szCs w:val="22"/>
          <w:lang w:val="en-US"/>
        </w:rPr>
        <w:t>.</w:t>
      </w:r>
    </w:p>
    <w:p w:rsidR="00CD2F3F" w:rsidRPr="00B70E4B" w:rsidRDefault="00CD2F3F" w:rsidP="00CD2F3F">
      <w:pPr>
        <w:pStyle w:val="BodyText"/>
        <w:spacing w:after="240"/>
        <w:rPr>
          <w:b/>
          <w:sz w:val="22"/>
          <w:szCs w:val="22"/>
          <w:lang w:val="en-US"/>
        </w:rPr>
      </w:pPr>
      <w:r w:rsidRPr="00B70E4B">
        <w:rPr>
          <w:b/>
          <w:sz w:val="22"/>
          <w:szCs w:val="22"/>
          <w:lang w:val="en-US"/>
        </w:rPr>
        <w:t>Observation 2:</w:t>
      </w:r>
    </w:p>
    <w:p w:rsidR="00CD2F3F" w:rsidRPr="00B70E4B" w:rsidRDefault="00CD2F3F" w:rsidP="00CD2F3F">
      <w:pPr>
        <w:pStyle w:val="BodyText"/>
        <w:numPr>
          <w:ilvl w:val="0"/>
          <w:numId w:val="13"/>
        </w:numPr>
        <w:spacing w:after="240"/>
        <w:jc w:val="both"/>
        <w:rPr>
          <w:b/>
          <w:sz w:val="22"/>
          <w:szCs w:val="22"/>
          <w:lang w:val="en-US"/>
        </w:rPr>
      </w:pPr>
      <w:r w:rsidRPr="00B70E4B">
        <w:rPr>
          <w:b/>
          <w:sz w:val="22"/>
          <w:szCs w:val="22"/>
          <w:lang w:val="en-US"/>
        </w:rPr>
        <w:t xml:space="preserve">The CBR defined in </w:t>
      </w:r>
      <w:r w:rsidRPr="00B70E4B">
        <w:rPr>
          <w:b/>
          <w:sz w:val="22"/>
          <w:szCs w:val="22"/>
          <w:lang w:val="en-US"/>
        </w:rPr>
        <w:fldChar w:fldCharType="begin"/>
      </w:r>
      <w:r w:rsidRPr="00B70E4B">
        <w:rPr>
          <w:b/>
          <w:sz w:val="22"/>
          <w:szCs w:val="22"/>
          <w:lang w:val="en-US"/>
        </w:rPr>
        <w:instrText xml:space="preserve"> REF _Ref462753210 \r \h  \* MERGEFORMAT </w:instrText>
      </w:r>
      <w:r w:rsidRPr="00B70E4B">
        <w:rPr>
          <w:b/>
          <w:sz w:val="22"/>
          <w:szCs w:val="22"/>
          <w:lang w:val="en-US"/>
        </w:rPr>
      </w:r>
      <w:r w:rsidRPr="00B70E4B">
        <w:rPr>
          <w:b/>
          <w:sz w:val="22"/>
          <w:szCs w:val="22"/>
          <w:lang w:val="en-US"/>
        </w:rPr>
        <w:fldChar w:fldCharType="separate"/>
      </w:r>
      <w:r w:rsidR="002D1D2B" w:rsidRPr="00B70E4B">
        <w:rPr>
          <w:b/>
          <w:sz w:val="22"/>
          <w:szCs w:val="22"/>
          <w:lang w:val="en-US"/>
        </w:rPr>
        <w:t>[3]</w:t>
      </w:r>
      <w:r w:rsidRPr="00B70E4B">
        <w:rPr>
          <w:b/>
          <w:sz w:val="22"/>
          <w:szCs w:val="22"/>
          <w:lang w:val="en-US"/>
        </w:rPr>
        <w:fldChar w:fldCharType="end"/>
      </w:r>
      <w:r w:rsidRPr="00B70E4B">
        <w:rPr>
          <w:b/>
          <w:sz w:val="22"/>
          <w:szCs w:val="22"/>
          <w:lang w:val="en-US"/>
        </w:rPr>
        <w:fldChar w:fldCharType="begin"/>
      </w:r>
      <w:r w:rsidRPr="00B70E4B">
        <w:rPr>
          <w:b/>
          <w:sz w:val="22"/>
          <w:szCs w:val="22"/>
          <w:lang w:val="en-US"/>
        </w:rPr>
        <w:instrText xml:space="preserve"> REF _Ref450814624 \r \h  \* MERGEFORMAT </w:instrText>
      </w:r>
      <w:r w:rsidRPr="00B70E4B">
        <w:rPr>
          <w:b/>
          <w:sz w:val="22"/>
          <w:szCs w:val="22"/>
          <w:lang w:val="en-US"/>
        </w:rPr>
      </w:r>
      <w:r w:rsidRPr="00B70E4B">
        <w:rPr>
          <w:b/>
          <w:sz w:val="22"/>
          <w:szCs w:val="22"/>
          <w:lang w:val="en-US"/>
        </w:rPr>
        <w:fldChar w:fldCharType="separate"/>
      </w:r>
      <w:r w:rsidR="002D1D2B" w:rsidRPr="00B70E4B">
        <w:rPr>
          <w:b/>
          <w:sz w:val="22"/>
          <w:szCs w:val="22"/>
          <w:lang w:val="en-US"/>
        </w:rPr>
        <w:t>[4]</w:t>
      </w:r>
      <w:r w:rsidRPr="00B70E4B">
        <w:rPr>
          <w:b/>
          <w:sz w:val="22"/>
          <w:szCs w:val="22"/>
          <w:lang w:val="en-US"/>
        </w:rPr>
        <w:fldChar w:fldCharType="end"/>
      </w:r>
      <w:r w:rsidRPr="00B70E4B">
        <w:rPr>
          <w:b/>
          <w:sz w:val="22"/>
          <w:szCs w:val="22"/>
          <w:lang w:val="en-US"/>
        </w:rPr>
        <w:t xml:space="preserve"> can be considered as the channel occupancy level for congestion control in LTE-based ITS, under appropriate design of the sensing method. </w:t>
      </w:r>
    </w:p>
    <w:p w:rsidR="002D1D2B" w:rsidRPr="00B70E4B" w:rsidRDefault="002D1D2B" w:rsidP="002D1D2B">
      <w:pPr>
        <w:pStyle w:val="Heading2"/>
        <w:rPr>
          <w:lang w:val="en-US"/>
        </w:rPr>
      </w:pPr>
      <w:r w:rsidRPr="00B70E4B">
        <w:rPr>
          <w:lang w:val="en-US"/>
        </w:rPr>
        <w:t>Measurement of CBR</w:t>
      </w:r>
    </w:p>
    <w:p w:rsidR="002D1D2B" w:rsidRPr="00B70E4B" w:rsidRDefault="002D1D2B" w:rsidP="002D1D2B">
      <w:pPr>
        <w:pStyle w:val="BodyText"/>
        <w:spacing w:after="240"/>
        <w:jc w:val="both"/>
        <w:rPr>
          <w:sz w:val="22"/>
          <w:lang w:val="en-US"/>
        </w:rPr>
      </w:pPr>
      <w:r w:rsidRPr="00B70E4B">
        <w:rPr>
          <w:sz w:val="22"/>
          <w:lang w:val="en-US"/>
        </w:rPr>
        <w:t xml:space="preserve">The sensing method for determining CBR in </w:t>
      </w:r>
      <w:r w:rsidRPr="00B70E4B">
        <w:rPr>
          <w:sz w:val="22"/>
          <w:lang w:val="en-US"/>
        </w:rPr>
        <w:fldChar w:fldCharType="begin"/>
      </w:r>
      <w:r w:rsidRPr="00B70E4B">
        <w:rPr>
          <w:sz w:val="22"/>
          <w:lang w:val="en-US"/>
        </w:rPr>
        <w:instrText xml:space="preserve"> REF _Ref462753210 \r \h  \* MERGEFORMAT </w:instrText>
      </w:r>
      <w:r w:rsidRPr="00B70E4B">
        <w:rPr>
          <w:sz w:val="22"/>
          <w:lang w:val="en-US"/>
        </w:rPr>
      </w:r>
      <w:r w:rsidRPr="00B70E4B">
        <w:rPr>
          <w:sz w:val="22"/>
          <w:lang w:val="en-US"/>
        </w:rPr>
        <w:fldChar w:fldCharType="separate"/>
      </w:r>
      <w:r w:rsidRPr="00B70E4B">
        <w:rPr>
          <w:sz w:val="22"/>
          <w:lang w:val="en-US"/>
        </w:rPr>
        <w:t>[3]</w:t>
      </w:r>
      <w:r w:rsidRPr="00B70E4B">
        <w:rPr>
          <w:sz w:val="22"/>
          <w:lang w:val="en-US"/>
        </w:rPr>
        <w:fldChar w:fldCharType="end"/>
      </w:r>
      <w:r w:rsidRPr="00B70E4B">
        <w:rPr>
          <w:sz w:val="22"/>
          <w:lang w:val="en-US"/>
        </w:rPr>
        <w:fldChar w:fldCharType="begin"/>
      </w:r>
      <w:r w:rsidRPr="00B70E4B">
        <w:rPr>
          <w:sz w:val="22"/>
          <w:lang w:val="en-US"/>
        </w:rPr>
        <w:instrText xml:space="preserve"> REF _Ref450814624 \r \h  \* MERGEFORMAT </w:instrText>
      </w:r>
      <w:r w:rsidRPr="00B70E4B">
        <w:rPr>
          <w:sz w:val="22"/>
          <w:lang w:val="en-US"/>
        </w:rPr>
      </w:r>
      <w:r w:rsidRPr="00B70E4B">
        <w:rPr>
          <w:sz w:val="22"/>
          <w:lang w:val="en-US"/>
        </w:rPr>
        <w:fldChar w:fldCharType="separate"/>
      </w:r>
      <w:r w:rsidRPr="00B70E4B">
        <w:rPr>
          <w:sz w:val="22"/>
          <w:lang w:val="en-US"/>
        </w:rPr>
        <w:t>[4]</w:t>
      </w:r>
      <w:r w:rsidRPr="00B70E4B">
        <w:rPr>
          <w:sz w:val="22"/>
          <w:lang w:val="en-US"/>
        </w:rPr>
        <w:fldChar w:fldCharType="end"/>
      </w:r>
      <w:r w:rsidRPr="00B70E4B">
        <w:rPr>
          <w:sz w:val="22"/>
          <w:lang w:val="en-US"/>
        </w:rPr>
        <w:t xml:space="preserve"> aligns with the TDMA nature of the ETSI ITS technology that is based on the IEEE 802.11 standard. In contrast, LTE is an OFDMA system, i.e., a UE’s transmission can use part of the system bandwidth. Consequently, the sensing method in LTE needs to take this aspect into account.</w:t>
      </w:r>
    </w:p>
    <w:p w:rsidR="002D1D2B" w:rsidRPr="00B70E4B" w:rsidRDefault="002D1D2B" w:rsidP="002D1D2B">
      <w:pPr>
        <w:pStyle w:val="BodyText"/>
        <w:spacing w:after="240"/>
        <w:rPr>
          <w:b/>
          <w:sz w:val="22"/>
          <w:lang w:val="en-US"/>
        </w:rPr>
      </w:pPr>
      <w:r w:rsidRPr="00B70E4B">
        <w:rPr>
          <w:b/>
          <w:sz w:val="22"/>
          <w:lang w:val="en-US"/>
        </w:rPr>
        <w:t>Observation 3:</w:t>
      </w:r>
    </w:p>
    <w:p w:rsidR="002D1D2B" w:rsidRPr="00B70E4B" w:rsidRDefault="002D1D2B" w:rsidP="002D1D2B">
      <w:pPr>
        <w:pStyle w:val="BodyText"/>
        <w:numPr>
          <w:ilvl w:val="0"/>
          <w:numId w:val="13"/>
        </w:numPr>
        <w:spacing w:after="240"/>
        <w:jc w:val="both"/>
        <w:rPr>
          <w:sz w:val="22"/>
          <w:lang w:val="en-US"/>
        </w:rPr>
      </w:pPr>
      <w:r w:rsidRPr="00B70E4B">
        <w:rPr>
          <w:b/>
          <w:sz w:val="22"/>
          <w:lang w:val="en-US"/>
        </w:rPr>
        <w:t>When designing the method for CBR measurement for LTE-based ITS, one needs to consider that a transmission can use only part of the system bandwidth.</w:t>
      </w:r>
    </w:p>
    <w:p w:rsidR="00B74E36" w:rsidRPr="00B70E4B" w:rsidRDefault="002D1D2B" w:rsidP="002D1D2B">
      <w:pPr>
        <w:pStyle w:val="BodyText"/>
        <w:spacing w:after="240"/>
        <w:jc w:val="both"/>
        <w:rPr>
          <w:sz w:val="22"/>
          <w:lang w:val="en-US"/>
        </w:rPr>
      </w:pPr>
      <w:r w:rsidRPr="00B70E4B">
        <w:rPr>
          <w:sz w:val="22"/>
          <w:lang w:val="en-US"/>
        </w:rPr>
        <w:t>In general, the congestion problem happens when traffic demands from different UEs exceed the amount of shared radio resources. Therefore, the CBR measurement shall be performed over all radio resources shared among UEs.</w:t>
      </w:r>
      <w:r w:rsidR="00B74E36" w:rsidRPr="00B70E4B">
        <w:rPr>
          <w:sz w:val="22"/>
          <w:lang w:val="en-US"/>
        </w:rPr>
        <w:t xml:space="preserve"> In </w:t>
      </w:r>
      <w:r w:rsidR="00B74E36" w:rsidRPr="00B70E4B">
        <w:rPr>
          <w:sz w:val="22"/>
          <w:lang w:val="en-US"/>
        </w:rPr>
        <w:fldChar w:fldCharType="begin"/>
      </w:r>
      <w:r w:rsidR="00B74E36" w:rsidRPr="00B70E4B">
        <w:rPr>
          <w:sz w:val="22"/>
          <w:lang w:val="en-US"/>
        </w:rPr>
        <w:instrText xml:space="preserve"> REF _Ref463002632 \r \h </w:instrText>
      </w:r>
      <w:r w:rsidR="00B74E36" w:rsidRPr="00B70E4B">
        <w:rPr>
          <w:sz w:val="22"/>
          <w:lang w:val="en-US"/>
        </w:rPr>
      </w:r>
      <w:r w:rsidR="00B74E36" w:rsidRPr="00B70E4B">
        <w:rPr>
          <w:sz w:val="22"/>
          <w:lang w:val="en-US"/>
        </w:rPr>
        <w:fldChar w:fldCharType="separate"/>
      </w:r>
      <w:r w:rsidR="00B74E36" w:rsidRPr="00B70E4B">
        <w:rPr>
          <w:sz w:val="22"/>
          <w:lang w:val="en-US"/>
        </w:rPr>
        <w:t>[1]</w:t>
      </w:r>
      <w:r w:rsidR="00B74E36" w:rsidRPr="00B70E4B">
        <w:rPr>
          <w:sz w:val="22"/>
          <w:lang w:val="en-US"/>
        </w:rPr>
        <w:fldChar w:fldCharType="end"/>
      </w:r>
      <w:r w:rsidR="00B74E36" w:rsidRPr="00B70E4B">
        <w:rPr>
          <w:sz w:val="22"/>
          <w:lang w:val="en-US"/>
        </w:rPr>
        <w:t xml:space="preserve"> it is therefore proposed that sensing for CBR is performed on all system time/frequency resources shared by UEs.</w:t>
      </w:r>
    </w:p>
    <w:p w:rsidR="002D1D2B" w:rsidRPr="00B70E4B" w:rsidRDefault="002D1D2B" w:rsidP="002D1D2B">
      <w:pPr>
        <w:pStyle w:val="BodyText"/>
        <w:spacing w:after="240"/>
        <w:jc w:val="both"/>
        <w:rPr>
          <w:sz w:val="22"/>
          <w:lang w:val="en-US"/>
        </w:rPr>
      </w:pPr>
      <w:r w:rsidRPr="00B70E4B">
        <w:rPr>
          <w:sz w:val="22"/>
          <w:lang w:val="en-US"/>
        </w:rPr>
        <w:t>In RAN1#86 it was agreed to divide the resource blocks used for data into several subbands in frequency domain. This division will lead to more efficient use of system resources and simplify the sensing process for resource selection and reselection. Similar idea can be used to facilitate the sensing for CBR.</w:t>
      </w:r>
      <w:r w:rsidR="00B74E36" w:rsidRPr="00B70E4B">
        <w:rPr>
          <w:sz w:val="22"/>
          <w:lang w:val="en-US"/>
        </w:rPr>
        <w:t xml:space="preserve"> Thus in </w:t>
      </w:r>
      <w:r w:rsidR="00B74E36" w:rsidRPr="00B70E4B">
        <w:rPr>
          <w:sz w:val="22"/>
          <w:lang w:val="en-US"/>
        </w:rPr>
        <w:fldChar w:fldCharType="begin"/>
      </w:r>
      <w:r w:rsidR="00B74E36" w:rsidRPr="00B70E4B">
        <w:rPr>
          <w:sz w:val="22"/>
          <w:lang w:val="en-US"/>
        </w:rPr>
        <w:instrText xml:space="preserve"> REF _Ref463002632 \r \h </w:instrText>
      </w:r>
      <w:r w:rsidR="00B74E36" w:rsidRPr="00B70E4B">
        <w:rPr>
          <w:sz w:val="22"/>
          <w:lang w:val="en-US"/>
        </w:rPr>
      </w:r>
      <w:r w:rsidR="00B74E36" w:rsidRPr="00B70E4B">
        <w:rPr>
          <w:sz w:val="22"/>
          <w:lang w:val="en-US"/>
        </w:rPr>
        <w:fldChar w:fldCharType="separate"/>
      </w:r>
      <w:r w:rsidR="00B74E36" w:rsidRPr="00B70E4B">
        <w:rPr>
          <w:sz w:val="22"/>
          <w:lang w:val="en-US"/>
        </w:rPr>
        <w:t>[1]</w:t>
      </w:r>
      <w:r w:rsidR="00B74E36" w:rsidRPr="00B70E4B">
        <w:rPr>
          <w:sz w:val="22"/>
          <w:lang w:val="en-US"/>
        </w:rPr>
        <w:fldChar w:fldCharType="end"/>
      </w:r>
      <w:r w:rsidR="00B74E36" w:rsidRPr="00B70E4B">
        <w:rPr>
          <w:sz w:val="22"/>
          <w:lang w:val="en-US"/>
        </w:rPr>
        <w:t xml:space="preserve"> the following is proposed:</w:t>
      </w:r>
    </w:p>
    <w:p w:rsidR="00B74E36" w:rsidRPr="00B70E4B" w:rsidRDefault="00B74E36" w:rsidP="00B74E36">
      <w:pPr>
        <w:pStyle w:val="BodyText"/>
        <w:numPr>
          <w:ilvl w:val="0"/>
          <w:numId w:val="16"/>
        </w:numPr>
        <w:jc w:val="both"/>
        <w:rPr>
          <w:sz w:val="22"/>
          <w:lang w:val="en-US"/>
        </w:rPr>
      </w:pPr>
      <w:r w:rsidRPr="00B70E4B">
        <w:rPr>
          <w:sz w:val="22"/>
          <w:lang w:val="en-US"/>
        </w:rPr>
        <w:t>The sensing for determining CBR for LTE ITS is performed over a measuring interval of all V2V subframes within the previous T</w:t>
      </w:r>
      <w:r w:rsidRPr="00B70E4B">
        <w:rPr>
          <w:sz w:val="22"/>
          <w:vertAlign w:val="subscript"/>
          <w:lang w:val="en-US"/>
        </w:rPr>
        <w:t>m</w:t>
      </w:r>
      <w:r w:rsidRPr="00B70E4B">
        <w:rPr>
          <w:sz w:val="22"/>
          <w:lang w:val="en-US"/>
        </w:rPr>
        <w:t xml:space="preserve"> as follows:</w:t>
      </w:r>
    </w:p>
    <w:p w:rsidR="00B74E36" w:rsidRPr="00B70E4B" w:rsidRDefault="00B74E36" w:rsidP="00B74E36">
      <w:pPr>
        <w:pStyle w:val="BodyText"/>
        <w:numPr>
          <w:ilvl w:val="1"/>
          <w:numId w:val="13"/>
        </w:numPr>
        <w:jc w:val="both"/>
        <w:rPr>
          <w:sz w:val="22"/>
          <w:lang w:val="en-US"/>
        </w:rPr>
      </w:pPr>
      <w:r w:rsidRPr="00B70E4B">
        <w:rPr>
          <w:sz w:val="22"/>
          <w:lang w:val="en-US"/>
        </w:rPr>
        <w:t xml:space="preserve">The data system resources are divided into CBR probe subbands </w:t>
      </w:r>
    </w:p>
    <w:p w:rsidR="00B74E36" w:rsidRPr="00B70E4B" w:rsidRDefault="00B74E36" w:rsidP="00B74E36">
      <w:pPr>
        <w:pStyle w:val="BodyText"/>
        <w:numPr>
          <w:ilvl w:val="2"/>
          <w:numId w:val="13"/>
        </w:numPr>
        <w:jc w:val="both"/>
        <w:rPr>
          <w:sz w:val="22"/>
          <w:lang w:val="en-US"/>
        </w:rPr>
      </w:pPr>
      <w:r w:rsidRPr="00B70E4B">
        <w:rPr>
          <w:sz w:val="22"/>
          <w:lang w:val="en-US"/>
        </w:rPr>
        <w:t>FFS the bandwidth of each CBR probe subband.</w:t>
      </w:r>
    </w:p>
    <w:p w:rsidR="00B74E36" w:rsidRPr="00B70E4B" w:rsidRDefault="00B74E36" w:rsidP="00B74E36">
      <w:pPr>
        <w:pStyle w:val="BodyText"/>
        <w:numPr>
          <w:ilvl w:val="1"/>
          <w:numId w:val="13"/>
        </w:numPr>
        <w:jc w:val="both"/>
        <w:rPr>
          <w:sz w:val="22"/>
          <w:lang w:val="en-US"/>
        </w:rPr>
      </w:pPr>
      <w:r w:rsidRPr="00B70E4B">
        <w:rPr>
          <w:sz w:val="22"/>
          <w:lang w:val="en-US"/>
        </w:rPr>
        <w:t>Each probe consists of measuring the received average signal Power Spectral Density (PSD) S over a single subband over a probe period T</w:t>
      </w:r>
      <w:r w:rsidRPr="00B70E4B">
        <w:rPr>
          <w:sz w:val="22"/>
          <w:vertAlign w:val="subscript"/>
          <w:lang w:val="en-US"/>
        </w:rPr>
        <w:t>p</w:t>
      </w:r>
      <w:r w:rsidRPr="00B70E4B">
        <w:rPr>
          <w:sz w:val="22"/>
          <w:lang w:val="en-US"/>
        </w:rPr>
        <w:t>. Preferably, T</w:t>
      </w:r>
      <w:r w:rsidRPr="00B70E4B">
        <w:rPr>
          <w:sz w:val="22"/>
          <w:vertAlign w:val="subscript"/>
          <w:lang w:val="en-US"/>
        </w:rPr>
        <w:t>p</w:t>
      </w:r>
      <w:r w:rsidRPr="00B70E4B">
        <w:rPr>
          <w:sz w:val="22"/>
          <w:lang w:val="en-US"/>
        </w:rPr>
        <w:t xml:space="preserve"> takes the subframe length.  </w:t>
      </w:r>
    </w:p>
    <w:p w:rsidR="00B74E36" w:rsidRPr="00B70E4B" w:rsidRDefault="00B74E36" w:rsidP="00B74E36">
      <w:pPr>
        <w:pStyle w:val="BodyText"/>
        <w:numPr>
          <w:ilvl w:val="1"/>
          <w:numId w:val="13"/>
        </w:numPr>
        <w:jc w:val="both"/>
        <w:rPr>
          <w:sz w:val="22"/>
          <w:lang w:val="en-US"/>
        </w:rPr>
      </w:pPr>
      <w:r w:rsidRPr="00B70E4B">
        <w:rPr>
          <w:sz w:val="22"/>
          <w:lang w:val="en-US"/>
        </w:rPr>
        <w:t xml:space="preserve">The probe is declared busy if S exceeds a pre-defined PSD threshold </w:t>
      </w:r>
      <m:oMath>
        <m:sSub>
          <m:sSubPr>
            <m:ctrlPr>
              <w:rPr>
                <w:rFonts w:ascii="Cambria Math" w:hAnsi="Cambria Math"/>
                <w:sz w:val="22"/>
                <w:lang w:val="en-US"/>
              </w:rPr>
            </m:ctrlPr>
          </m:sSubPr>
          <m:e>
            <m:r>
              <m:rPr>
                <m:sty m:val="p"/>
              </m:rPr>
              <w:rPr>
                <w:rFonts w:ascii="Cambria Math" w:hAnsi="Cambria Math"/>
                <w:sz w:val="22"/>
                <w:lang w:val="en-US"/>
              </w:rPr>
              <m:t>S</m:t>
            </m:r>
          </m:e>
          <m:sub>
            <m:r>
              <m:rPr>
                <m:sty m:val="p"/>
              </m:rPr>
              <w:rPr>
                <w:rFonts w:ascii="Cambria Math" w:hAnsi="Cambria Math"/>
                <w:sz w:val="22"/>
                <w:lang w:val="en-US"/>
              </w:rPr>
              <m:t>th</m:t>
            </m:r>
          </m:sub>
        </m:sSub>
      </m:oMath>
    </w:p>
    <w:p w:rsidR="00B74E36" w:rsidRPr="00B70E4B" w:rsidRDefault="00B74E36" w:rsidP="00B74E36">
      <w:pPr>
        <w:pStyle w:val="BodyText"/>
        <w:numPr>
          <w:ilvl w:val="1"/>
          <w:numId w:val="13"/>
        </w:numPr>
        <w:jc w:val="both"/>
        <w:rPr>
          <w:sz w:val="22"/>
          <w:lang w:val="en-US"/>
        </w:rPr>
      </w:pPr>
      <m:oMath>
        <m:r>
          <m:rPr>
            <m:sty m:val="p"/>
          </m:rPr>
          <w:rPr>
            <w:rFonts w:ascii="Cambria Math" w:hAnsi="Cambria Math"/>
            <w:sz w:val="22"/>
            <w:lang w:val="en-US"/>
          </w:rPr>
          <m:t>CBR</m:t>
        </m:r>
        <m:d>
          <m:dPr>
            <m:ctrlPr>
              <w:rPr>
                <w:rFonts w:ascii="Cambria Math" w:hAnsi="Cambria Math"/>
                <w:sz w:val="22"/>
                <w:lang w:val="en-US"/>
              </w:rPr>
            </m:ctrlPr>
          </m:dPr>
          <m:e>
            <m:sSub>
              <m:sSubPr>
                <m:ctrlPr>
                  <w:rPr>
                    <w:rFonts w:ascii="Cambria Math" w:hAnsi="Cambria Math"/>
                    <w:sz w:val="22"/>
                    <w:lang w:val="en-US"/>
                  </w:rPr>
                </m:ctrlPr>
              </m:sSubPr>
              <m:e>
                <m:r>
                  <m:rPr>
                    <m:sty m:val="p"/>
                  </m:rPr>
                  <w:rPr>
                    <w:rFonts w:ascii="Cambria Math" w:hAnsi="Cambria Math"/>
                    <w:sz w:val="22"/>
                    <w:lang w:val="en-US"/>
                  </w:rPr>
                  <m:t>S</m:t>
                </m:r>
              </m:e>
              <m:sub>
                <m:r>
                  <m:rPr>
                    <m:sty m:val="p"/>
                  </m:rPr>
                  <w:rPr>
                    <w:rFonts w:ascii="Cambria Math" w:hAnsi="Cambria Math"/>
                    <w:sz w:val="22"/>
                    <w:lang w:val="en-US"/>
                  </w:rPr>
                  <m:t>th</m:t>
                </m:r>
              </m:sub>
            </m:sSub>
          </m:e>
        </m:d>
        <m:r>
          <m:rPr>
            <m:sty m:val="p"/>
          </m:rPr>
          <w:rPr>
            <w:rFonts w:ascii="Cambria Math" w:hAnsi="Cambria Math"/>
            <w:sz w:val="22"/>
            <w:lang w:val="en-US"/>
          </w:rPr>
          <m:t>=</m:t>
        </m:r>
      </m:oMath>
      <w:r w:rsidRPr="00B70E4B">
        <w:rPr>
          <w:sz w:val="22"/>
          <w:lang w:val="en-US"/>
        </w:rPr>
        <w:t xml:space="preserve"> </w:t>
      </w:r>
      <m:oMath>
        <m:f>
          <m:fPr>
            <m:ctrlPr>
              <w:rPr>
                <w:rFonts w:ascii="Cambria Math" w:hAnsi="Cambria Math"/>
                <w:sz w:val="22"/>
                <w:lang w:val="en-US"/>
              </w:rPr>
            </m:ctrlPr>
          </m:fPr>
          <m:num>
            <m:r>
              <m:rPr>
                <m:sty m:val="p"/>
              </m:rPr>
              <w:rPr>
                <w:rFonts w:ascii="Cambria Math" w:hAnsi="Cambria Math"/>
                <w:sz w:val="22"/>
                <w:lang w:val="en-US"/>
              </w:rPr>
              <m:t xml:space="preserve">number of busy probes in </m:t>
            </m:r>
            <m:sSub>
              <m:sSubPr>
                <m:ctrlPr>
                  <w:rPr>
                    <w:rFonts w:ascii="Cambria Math" w:hAnsi="Cambria Math"/>
                    <w:sz w:val="22"/>
                    <w:lang w:val="en-US"/>
                  </w:rPr>
                </m:ctrlPr>
              </m:sSubPr>
              <m:e>
                <m:r>
                  <m:rPr>
                    <m:sty m:val="p"/>
                  </m:rPr>
                  <w:rPr>
                    <w:rFonts w:ascii="Cambria Math" w:hAnsi="Cambria Math"/>
                    <w:sz w:val="22"/>
                    <w:lang w:val="en-US"/>
                  </w:rPr>
                  <m:t>T</m:t>
                </m:r>
              </m:e>
              <m:sub>
                <m:r>
                  <m:rPr>
                    <m:sty m:val="p"/>
                  </m:rPr>
                  <w:rPr>
                    <w:rFonts w:ascii="Cambria Math" w:hAnsi="Cambria Math"/>
                    <w:sz w:val="22"/>
                    <w:lang w:val="en-US"/>
                  </w:rPr>
                  <m:t>m</m:t>
                </m:r>
              </m:sub>
            </m:sSub>
          </m:num>
          <m:den>
            <m:r>
              <m:rPr>
                <m:sty m:val="p"/>
              </m:rPr>
              <w:rPr>
                <w:rFonts w:ascii="Cambria Math" w:hAnsi="Cambria Math"/>
                <w:sz w:val="22"/>
                <w:lang w:val="en-US"/>
              </w:rPr>
              <m:t xml:space="preserve">total number of probes in </m:t>
            </m:r>
            <m:sSub>
              <m:sSubPr>
                <m:ctrlPr>
                  <w:rPr>
                    <w:rFonts w:ascii="Cambria Math" w:hAnsi="Cambria Math"/>
                    <w:sz w:val="22"/>
                    <w:lang w:val="en-US"/>
                  </w:rPr>
                </m:ctrlPr>
              </m:sSubPr>
              <m:e>
                <m:r>
                  <m:rPr>
                    <m:sty m:val="p"/>
                  </m:rPr>
                  <w:rPr>
                    <w:rFonts w:ascii="Cambria Math" w:hAnsi="Cambria Math"/>
                    <w:sz w:val="22"/>
                    <w:lang w:val="en-US"/>
                  </w:rPr>
                  <m:t>T</m:t>
                </m:r>
              </m:e>
              <m:sub>
                <m:r>
                  <m:rPr>
                    <m:sty m:val="p"/>
                  </m:rPr>
                  <w:rPr>
                    <w:rFonts w:ascii="Cambria Math" w:hAnsi="Cambria Math"/>
                    <w:sz w:val="22"/>
                    <w:lang w:val="en-US"/>
                  </w:rPr>
                  <m:t>m</m:t>
                </m:r>
              </m:sub>
            </m:sSub>
          </m:den>
        </m:f>
        <m:r>
          <m:rPr>
            <m:sty m:val="p"/>
          </m:rPr>
          <w:rPr>
            <w:rFonts w:ascii="Cambria Math" w:hAnsi="Cambria Math"/>
            <w:sz w:val="22"/>
            <w:lang w:val="en-US"/>
          </w:rPr>
          <m:t>.</m:t>
        </m:r>
      </m:oMath>
    </w:p>
    <w:p w:rsidR="00B74E36" w:rsidRPr="00B70E4B" w:rsidRDefault="00B74E36" w:rsidP="00B74E36">
      <w:pPr>
        <w:pStyle w:val="BodyText"/>
        <w:jc w:val="both"/>
        <w:rPr>
          <w:b/>
          <w:sz w:val="22"/>
          <w:lang w:val="en-US"/>
        </w:rPr>
      </w:pPr>
    </w:p>
    <w:p w:rsidR="002D1D2B" w:rsidRPr="00B70E4B" w:rsidRDefault="00B74E36" w:rsidP="002D1D2B">
      <w:pPr>
        <w:pStyle w:val="BodyText"/>
        <w:jc w:val="both"/>
        <w:rPr>
          <w:sz w:val="22"/>
          <w:lang w:val="en-US"/>
        </w:rPr>
      </w:pPr>
      <w:r w:rsidRPr="00B70E4B">
        <w:rPr>
          <w:sz w:val="22"/>
          <w:lang w:val="en-US"/>
        </w:rPr>
        <w:t>T</w:t>
      </w:r>
      <w:r w:rsidR="002D1D2B" w:rsidRPr="00B70E4B">
        <w:rPr>
          <w:sz w:val="22"/>
          <w:lang w:val="en-US"/>
        </w:rPr>
        <w:t>he following important aspects in designing the parameters</w:t>
      </w:r>
      <w:r w:rsidRPr="00B70E4B">
        <w:rPr>
          <w:sz w:val="22"/>
          <w:lang w:val="en-US"/>
        </w:rPr>
        <w:t xml:space="preserve"> are emphasized</w:t>
      </w:r>
      <w:r w:rsidR="002D1D2B" w:rsidRPr="00B70E4B">
        <w:rPr>
          <w:sz w:val="22"/>
          <w:lang w:val="en-US"/>
        </w:rPr>
        <w:t>:</w:t>
      </w:r>
    </w:p>
    <w:p w:rsidR="002D1D2B" w:rsidRPr="00B70E4B" w:rsidRDefault="002D1D2B" w:rsidP="002D1D2B">
      <w:pPr>
        <w:pStyle w:val="BodyText"/>
        <w:numPr>
          <w:ilvl w:val="0"/>
          <w:numId w:val="14"/>
        </w:numPr>
        <w:jc w:val="both"/>
        <w:rPr>
          <w:sz w:val="22"/>
          <w:lang w:val="en-US"/>
        </w:rPr>
      </w:pPr>
      <w:r w:rsidRPr="00B70E4B">
        <w:rPr>
          <w:sz w:val="22"/>
          <w:lang w:val="en-US"/>
        </w:rPr>
        <w:t>The number of samples taken in each prob</w:t>
      </w:r>
      <w:r w:rsidR="00B74E36" w:rsidRPr="00B70E4B">
        <w:rPr>
          <w:sz w:val="22"/>
          <w:lang w:val="en-US"/>
        </w:rPr>
        <w:t>e should be large enough to result in</w:t>
      </w:r>
      <w:r w:rsidRPr="00B70E4B">
        <w:rPr>
          <w:sz w:val="22"/>
          <w:lang w:val="en-US"/>
        </w:rPr>
        <w:t xml:space="preserve"> reliable statistics, details are up to RAN4.</w:t>
      </w:r>
    </w:p>
    <w:p w:rsidR="002D1D2B" w:rsidRPr="00B70E4B" w:rsidRDefault="002D1D2B" w:rsidP="002D1D2B">
      <w:pPr>
        <w:pStyle w:val="BodyText"/>
        <w:numPr>
          <w:ilvl w:val="0"/>
          <w:numId w:val="14"/>
        </w:numPr>
        <w:jc w:val="both"/>
        <w:rPr>
          <w:sz w:val="22"/>
          <w:lang w:val="en-US"/>
        </w:rPr>
      </w:pPr>
      <w:r w:rsidRPr="00B70E4B">
        <w:rPr>
          <w:sz w:val="22"/>
          <w:lang w:val="en-US"/>
        </w:rPr>
        <w:t xml:space="preserve">The threshold </w:t>
      </w:r>
      <m:oMath>
        <m:sSub>
          <m:sSubPr>
            <m:ctrlPr>
              <w:rPr>
                <w:rFonts w:ascii="Cambria Math" w:hAnsi="Cambria Math"/>
                <w:b/>
                <w:i/>
                <w:sz w:val="22"/>
                <w:lang w:val="en-US"/>
              </w:rPr>
            </m:ctrlPr>
          </m:sSubPr>
          <m:e>
            <m:r>
              <m:rPr>
                <m:sty m:val="bi"/>
              </m:rPr>
              <w:rPr>
                <w:rFonts w:ascii="Cambria Math" w:hAnsi="Cambria Math"/>
                <w:sz w:val="22"/>
                <w:lang w:val="en-US"/>
              </w:rPr>
              <m:t>S</m:t>
            </m:r>
          </m:e>
          <m:sub>
            <m:r>
              <m:rPr>
                <m:sty m:val="bi"/>
              </m:rPr>
              <w:rPr>
                <w:rFonts w:ascii="Cambria Math" w:hAnsi="Cambria Math"/>
                <w:sz w:val="22"/>
                <w:lang w:val="en-US"/>
              </w:rPr>
              <m:t>th</m:t>
            </m:r>
          </m:sub>
        </m:sSub>
      </m:oMath>
      <w:r w:rsidRPr="00B70E4B">
        <w:rPr>
          <w:b/>
          <w:sz w:val="22"/>
          <w:lang w:val="en-US"/>
        </w:rPr>
        <w:t xml:space="preserve"> </w:t>
      </w:r>
      <w:r w:rsidRPr="00B70E4B">
        <w:rPr>
          <w:sz w:val="22"/>
          <w:lang w:val="en-US"/>
        </w:rPr>
        <w:t>needs to be sufficiently larger than the effective noise power on the subband to avoid false alarm in declaring a busy probe, details are up to RAN4.</w:t>
      </w:r>
    </w:p>
    <w:p w:rsidR="00B74E36" w:rsidRPr="00B70E4B" w:rsidRDefault="00B74E36" w:rsidP="00B74E36">
      <w:pPr>
        <w:pStyle w:val="BodyText"/>
        <w:jc w:val="both"/>
        <w:rPr>
          <w:sz w:val="22"/>
          <w:lang w:val="en-US"/>
        </w:rPr>
      </w:pPr>
    </w:p>
    <w:p w:rsidR="00B74E36" w:rsidRPr="00B70E4B" w:rsidRDefault="00B74E36" w:rsidP="00B74E36">
      <w:pPr>
        <w:pStyle w:val="BodyText"/>
        <w:jc w:val="both"/>
        <w:rPr>
          <w:b/>
          <w:sz w:val="22"/>
          <w:lang w:val="en-US"/>
        </w:rPr>
      </w:pPr>
      <w:r w:rsidRPr="00B70E4B">
        <w:rPr>
          <w:b/>
          <w:sz w:val="22"/>
          <w:lang w:val="en-US"/>
        </w:rPr>
        <w:t>Proposal 1:</w:t>
      </w:r>
    </w:p>
    <w:p w:rsidR="00B74E36" w:rsidRPr="00B70E4B" w:rsidRDefault="00B74E36" w:rsidP="00B74E36">
      <w:pPr>
        <w:pStyle w:val="BodyText"/>
        <w:numPr>
          <w:ilvl w:val="0"/>
          <w:numId w:val="16"/>
        </w:numPr>
        <w:spacing w:before="240"/>
        <w:jc w:val="both"/>
        <w:rPr>
          <w:b/>
          <w:sz w:val="22"/>
          <w:lang w:val="en-US"/>
        </w:rPr>
      </w:pPr>
      <w:r w:rsidRPr="00B70E4B">
        <w:rPr>
          <w:b/>
          <w:sz w:val="22"/>
          <w:lang w:val="en-US"/>
        </w:rPr>
        <w:t>RAN4 shall investigate the required number of samples taken for a probe for reliable statistics to be acquired</w:t>
      </w:r>
    </w:p>
    <w:p w:rsidR="00B74E36" w:rsidRPr="00B70E4B" w:rsidRDefault="00B74E36" w:rsidP="00B74E36">
      <w:pPr>
        <w:pStyle w:val="BodyText"/>
        <w:numPr>
          <w:ilvl w:val="0"/>
          <w:numId w:val="16"/>
        </w:numPr>
        <w:spacing w:before="240"/>
        <w:jc w:val="both"/>
        <w:rPr>
          <w:b/>
          <w:sz w:val="22"/>
          <w:lang w:val="en-US"/>
        </w:rPr>
      </w:pPr>
      <w:r w:rsidRPr="00B70E4B">
        <w:rPr>
          <w:b/>
          <w:sz w:val="22"/>
          <w:lang w:val="en-US"/>
        </w:rPr>
        <w:t xml:space="preserve">RAN4 shall determine a threshold </w:t>
      </w:r>
      <m:oMath>
        <m:sSub>
          <m:sSubPr>
            <m:ctrlPr>
              <w:rPr>
                <w:rFonts w:ascii="Cambria Math" w:hAnsi="Cambria Math"/>
                <w:b/>
                <w:i/>
                <w:sz w:val="22"/>
                <w:lang w:val="en-US"/>
              </w:rPr>
            </m:ctrlPr>
          </m:sSubPr>
          <m:e>
            <m:r>
              <m:rPr>
                <m:sty m:val="bi"/>
              </m:rPr>
              <w:rPr>
                <w:rFonts w:ascii="Cambria Math" w:hAnsi="Cambria Math"/>
                <w:sz w:val="22"/>
                <w:lang w:val="en-US"/>
              </w:rPr>
              <m:t>S</m:t>
            </m:r>
          </m:e>
          <m:sub>
            <m:r>
              <m:rPr>
                <m:sty m:val="bi"/>
              </m:rPr>
              <w:rPr>
                <w:rFonts w:ascii="Cambria Math" w:hAnsi="Cambria Math"/>
                <w:sz w:val="22"/>
                <w:lang w:val="en-US"/>
              </w:rPr>
              <m:t>th</m:t>
            </m:r>
          </m:sub>
        </m:sSub>
      </m:oMath>
      <w:r w:rsidRPr="00B70E4B">
        <w:rPr>
          <w:b/>
          <w:sz w:val="22"/>
          <w:lang w:val="en-US"/>
        </w:rPr>
        <w:t xml:space="preserve"> that provides a good balance between </w:t>
      </w:r>
      <w:r w:rsidR="00EA2CCB" w:rsidRPr="00B70E4B">
        <w:rPr>
          <w:b/>
          <w:sz w:val="22"/>
          <w:lang w:val="en-US"/>
        </w:rPr>
        <w:t>false alarm and missed alarm given the effective noise power on the probed subband</w:t>
      </w:r>
    </w:p>
    <w:p w:rsidR="00B74E36" w:rsidRPr="00B70E4B" w:rsidRDefault="00B74E36" w:rsidP="00B74E36">
      <w:pPr>
        <w:pStyle w:val="BodyText"/>
        <w:jc w:val="both"/>
        <w:rPr>
          <w:b/>
          <w:sz w:val="22"/>
          <w:lang w:val="en-US"/>
        </w:rPr>
      </w:pPr>
      <w:r w:rsidRPr="00B70E4B">
        <w:rPr>
          <w:b/>
          <w:sz w:val="22"/>
          <w:lang w:val="en-US"/>
        </w:rPr>
        <w:tab/>
      </w:r>
    </w:p>
    <w:p w:rsidR="00CD2F3F" w:rsidRPr="00B70E4B" w:rsidRDefault="00CD2F3F" w:rsidP="00CD2F3F">
      <w:pPr>
        <w:rPr>
          <w:sz w:val="22"/>
          <w:lang w:val="en-US"/>
        </w:rPr>
      </w:pPr>
    </w:p>
    <w:p w:rsidR="002C02E5" w:rsidRPr="00B70E4B" w:rsidRDefault="003576E5" w:rsidP="00EA2CCB">
      <w:pPr>
        <w:pStyle w:val="Heading1"/>
        <w:rPr>
          <w:lang w:val="en-US"/>
        </w:rPr>
      </w:pPr>
      <w:r w:rsidRPr="00B70E4B">
        <w:rPr>
          <w:lang w:val="en-US"/>
        </w:rPr>
        <w:lastRenderedPageBreak/>
        <w:t>Simulations</w:t>
      </w:r>
    </w:p>
    <w:p w:rsidR="003576E5" w:rsidRPr="00B70E4B" w:rsidRDefault="003576E5" w:rsidP="003576E5">
      <w:pPr>
        <w:pStyle w:val="Heading2"/>
        <w:rPr>
          <w:lang w:val="en-US"/>
        </w:rPr>
      </w:pPr>
      <w:r w:rsidRPr="00B70E4B">
        <w:rPr>
          <w:lang w:val="en-US"/>
        </w:rPr>
        <w:t>Simulation assumptions</w:t>
      </w:r>
    </w:p>
    <w:p w:rsidR="008A28A2" w:rsidRPr="00B70E4B" w:rsidRDefault="00EB20B5" w:rsidP="008A28A2">
      <w:pPr>
        <w:pStyle w:val="BodyText"/>
        <w:spacing w:after="240"/>
        <w:jc w:val="both"/>
        <w:rPr>
          <w:sz w:val="22"/>
          <w:szCs w:val="22"/>
          <w:lang w:val="en-US"/>
        </w:rPr>
      </w:pPr>
      <w:r w:rsidRPr="00B70E4B">
        <w:rPr>
          <w:sz w:val="22"/>
          <w:szCs w:val="22"/>
          <w:lang w:val="en-US"/>
        </w:rPr>
        <w:t xml:space="preserve">Simulations have been conducted in order to justify the proposal in </w:t>
      </w:r>
      <w:r w:rsidRPr="00B70E4B">
        <w:rPr>
          <w:sz w:val="22"/>
          <w:szCs w:val="22"/>
          <w:lang w:val="en-US"/>
        </w:rPr>
        <w:fldChar w:fldCharType="begin"/>
      </w:r>
      <w:r w:rsidRPr="00B70E4B">
        <w:rPr>
          <w:sz w:val="22"/>
          <w:szCs w:val="22"/>
          <w:lang w:val="en-US"/>
        </w:rPr>
        <w:instrText xml:space="preserve"> REF _Ref463002632 \r \h  \* MERGEFORMAT </w:instrText>
      </w:r>
      <w:r w:rsidRPr="00B70E4B">
        <w:rPr>
          <w:sz w:val="22"/>
          <w:szCs w:val="22"/>
          <w:lang w:val="en-US"/>
        </w:rPr>
      </w:r>
      <w:r w:rsidRPr="00B70E4B">
        <w:rPr>
          <w:sz w:val="22"/>
          <w:szCs w:val="22"/>
          <w:lang w:val="en-US"/>
        </w:rPr>
        <w:fldChar w:fldCharType="separate"/>
      </w:r>
      <w:r w:rsidRPr="00B70E4B">
        <w:rPr>
          <w:sz w:val="22"/>
          <w:szCs w:val="22"/>
          <w:lang w:val="en-US"/>
        </w:rPr>
        <w:t>[1]</w:t>
      </w:r>
      <w:r w:rsidRPr="00B70E4B">
        <w:rPr>
          <w:sz w:val="22"/>
          <w:szCs w:val="22"/>
          <w:lang w:val="en-US"/>
        </w:rPr>
        <w:fldChar w:fldCharType="end"/>
      </w:r>
      <w:r w:rsidRPr="00B70E4B">
        <w:rPr>
          <w:sz w:val="22"/>
          <w:szCs w:val="22"/>
          <w:lang w:val="en-US"/>
        </w:rPr>
        <w:t xml:space="preserve"> on that</w:t>
      </w:r>
      <w:r w:rsidR="008A28A2" w:rsidRPr="00B70E4B">
        <w:rPr>
          <w:sz w:val="22"/>
          <w:szCs w:val="22"/>
          <w:lang w:val="en-US"/>
        </w:rPr>
        <w:t xml:space="preserve"> 3GPP shall specify frequency-selective CBR measurements, i.e. measurements where the band is divided into subbands.</w:t>
      </w:r>
    </w:p>
    <w:p w:rsidR="008A28A2" w:rsidRPr="00B70E4B" w:rsidRDefault="008A28A2" w:rsidP="008A28A2">
      <w:pPr>
        <w:pStyle w:val="BodyText"/>
        <w:spacing w:after="240"/>
        <w:jc w:val="both"/>
        <w:rPr>
          <w:sz w:val="22"/>
          <w:szCs w:val="22"/>
          <w:lang w:val="en-US"/>
        </w:rPr>
      </w:pPr>
    </w:p>
    <w:p w:rsidR="00D044A5" w:rsidRPr="00B70E4B" w:rsidRDefault="00D044A5" w:rsidP="00D044A5">
      <w:pPr>
        <w:pStyle w:val="Caption"/>
        <w:keepNext/>
      </w:pPr>
      <w:r w:rsidRPr="00B70E4B">
        <w:t xml:space="preserve">Table </w:t>
      </w:r>
      <w:r w:rsidRPr="00B70E4B">
        <w:fldChar w:fldCharType="begin"/>
      </w:r>
      <w:r w:rsidRPr="00B70E4B">
        <w:instrText xml:space="preserve"> SEQ Table \* ARABIC </w:instrText>
      </w:r>
      <w:r w:rsidRPr="00B70E4B">
        <w:fldChar w:fldCharType="separate"/>
      </w:r>
      <w:r w:rsidRPr="00B70E4B">
        <w:rPr>
          <w:noProof/>
        </w:rPr>
        <w:t>1</w:t>
      </w:r>
      <w:r w:rsidRPr="00B70E4B">
        <w:fldChar w:fldCharType="end"/>
      </w:r>
      <w:r w:rsidRPr="00B70E4B">
        <w:t xml:space="preserve">: </w:t>
      </w:r>
      <w:r w:rsidRPr="00B70E4B">
        <w:rPr>
          <w:b w:val="0"/>
        </w:rPr>
        <w:t>Simulation assumptions</w:t>
      </w:r>
    </w:p>
    <w:tbl>
      <w:tblPr>
        <w:tblStyle w:val="TableGrid"/>
        <w:tblW w:w="0" w:type="auto"/>
        <w:tblLook w:val="04A0" w:firstRow="1" w:lastRow="0" w:firstColumn="1" w:lastColumn="0" w:noHBand="0" w:noVBand="1"/>
      </w:tblPr>
      <w:tblGrid>
        <w:gridCol w:w="2143"/>
        <w:gridCol w:w="1367"/>
        <w:gridCol w:w="1276"/>
        <w:gridCol w:w="4394"/>
      </w:tblGrid>
      <w:tr w:rsidR="00D044A5" w:rsidRPr="00B70E4B" w:rsidTr="00D044A5">
        <w:tc>
          <w:tcPr>
            <w:tcW w:w="2143" w:type="dxa"/>
            <w:vMerge w:val="restart"/>
          </w:tcPr>
          <w:p w:rsidR="00D044A5" w:rsidRPr="00B70E4B" w:rsidRDefault="00D044A5" w:rsidP="008A28A2">
            <w:pPr>
              <w:pStyle w:val="BodyText"/>
              <w:spacing w:after="240"/>
              <w:jc w:val="both"/>
              <w:rPr>
                <w:b/>
                <w:sz w:val="22"/>
                <w:szCs w:val="22"/>
                <w:lang w:val="en-US"/>
              </w:rPr>
            </w:pPr>
            <w:r w:rsidRPr="00B70E4B">
              <w:rPr>
                <w:b/>
                <w:sz w:val="22"/>
                <w:szCs w:val="22"/>
                <w:lang w:val="en-US"/>
              </w:rPr>
              <w:t>Parameter</w:t>
            </w:r>
          </w:p>
        </w:tc>
        <w:tc>
          <w:tcPr>
            <w:tcW w:w="2643" w:type="dxa"/>
            <w:gridSpan w:val="2"/>
          </w:tcPr>
          <w:p w:rsidR="00D044A5" w:rsidRPr="00B70E4B" w:rsidRDefault="00D044A5" w:rsidP="00D044A5">
            <w:pPr>
              <w:pStyle w:val="BodyText"/>
              <w:spacing w:after="240"/>
              <w:jc w:val="center"/>
              <w:rPr>
                <w:b/>
                <w:sz w:val="22"/>
                <w:szCs w:val="22"/>
                <w:lang w:val="en-US"/>
              </w:rPr>
            </w:pPr>
            <w:r w:rsidRPr="00B70E4B">
              <w:rPr>
                <w:b/>
                <w:sz w:val="22"/>
                <w:szCs w:val="22"/>
                <w:lang w:val="en-US"/>
              </w:rPr>
              <w:t>Scenario</w:t>
            </w:r>
          </w:p>
        </w:tc>
        <w:tc>
          <w:tcPr>
            <w:tcW w:w="4394" w:type="dxa"/>
            <w:vMerge w:val="restart"/>
          </w:tcPr>
          <w:p w:rsidR="00D044A5" w:rsidRPr="00B70E4B" w:rsidRDefault="00D044A5" w:rsidP="008A28A2">
            <w:pPr>
              <w:pStyle w:val="BodyText"/>
              <w:spacing w:after="240"/>
              <w:jc w:val="both"/>
              <w:rPr>
                <w:b/>
                <w:sz w:val="22"/>
                <w:szCs w:val="22"/>
                <w:lang w:val="en-US"/>
              </w:rPr>
            </w:pPr>
            <w:r w:rsidRPr="00B70E4B">
              <w:rPr>
                <w:b/>
                <w:sz w:val="22"/>
                <w:szCs w:val="22"/>
                <w:lang w:val="en-US"/>
              </w:rPr>
              <w:t>Comment</w:t>
            </w:r>
          </w:p>
        </w:tc>
      </w:tr>
      <w:tr w:rsidR="00D044A5" w:rsidRPr="00B70E4B" w:rsidTr="00D044A5">
        <w:tc>
          <w:tcPr>
            <w:tcW w:w="2143" w:type="dxa"/>
            <w:vMerge/>
          </w:tcPr>
          <w:p w:rsidR="00D044A5" w:rsidRPr="00B70E4B" w:rsidRDefault="00D044A5" w:rsidP="008A28A2">
            <w:pPr>
              <w:pStyle w:val="BodyText"/>
              <w:spacing w:after="240"/>
              <w:jc w:val="both"/>
              <w:rPr>
                <w:sz w:val="22"/>
                <w:szCs w:val="22"/>
                <w:lang w:val="en-US"/>
              </w:rPr>
            </w:pPr>
          </w:p>
        </w:tc>
        <w:tc>
          <w:tcPr>
            <w:tcW w:w="1367" w:type="dxa"/>
          </w:tcPr>
          <w:p w:rsidR="00D044A5" w:rsidRPr="00B70E4B" w:rsidRDefault="00D044A5" w:rsidP="00D044A5">
            <w:pPr>
              <w:pStyle w:val="BodyText"/>
              <w:spacing w:after="240"/>
              <w:jc w:val="center"/>
              <w:rPr>
                <w:b/>
                <w:sz w:val="22"/>
                <w:szCs w:val="22"/>
                <w:lang w:val="en-US"/>
              </w:rPr>
            </w:pPr>
            <w:r w:rsidRPr="00B70E4B">
              <w:rPr>
                <w:b/>
                <w:sz w:val="22"/>
                <w:szCs w:val="22"/>
                <w:lang w:val="en-US"/>
              </w:rPr>
              <w:t>Tx.Alt.1</w:t>
            </w:r>
          </w:p>
        </w:tc>
        <w:tc>
          <w:tcPr>
            <w:tcW w:w="1276" w:type="dxa"/>
          </w:tcPr>
          <w:p w:rsidR="00D044A5" w:rsidRPr="00B70E4B" w:rsidRDefault="00D044A5" w:rsidP="00D044A5">
            <w:pPr>
              <w:pStyle w:val="BodyText"/>
              <w:spacing w:after="240"/>
              <w:jc w:val="center"/>
              <w:rPr>
                <w:b/>
                <w:sz w:val="22"/>
                <w:szCs w:val="22"/>
                <w:lang w:val="en-US"/>
              </w:rPr>
            </w:pPr>
            <w:r w:rsidRPr="00B70E4B">
              <w:rPr>
                <w:b/>
                <w:sz w:val="22"/>
                <w:szCs w:val="22"/>
                <w:lang w:val="en-US"/>
              </w:rPr>
              <w:t>Tx.Alt.2</w:t>
            </w:r>
          </w:p>
        </w:tc>
        <w:tc>
          <w:tcPr>
            <w:tcW w:w="4394" w:type="dxa"/>
            <w:vMerge/>
          </w:tcPr>
          <w:p w:rsidR="00D044A5" w:rsidRPr="00B70E4B" w:rsidRDefault="00D044A5" w:rsidP="008A28A2">
            <w:pPr>
              <w:pStyle w:val="BodyText"/>
              <w:spacing w:after="240"/>
              <w:jc w:val="both"/>
              <w:rPr>
                <w:sz w:val="22"/>
                <w:szCs w:val="22"/>
                <w:lang w:val="en-US"/>
              </w:rPr>
            </w:pPr>
          </w:p>
        </w:tc>
      </w:tr>
      <w:tr w:rsidR="00D044A5" w:rsidRPr="00B70E4B" w:rsidTr="00D044A5">
        <w:tc>
          <w:tcPr>
            <w:tcW w:w="2143" w:type="dxa"/>
          </w:tcPr>
          <w:p w:rsidR="00D044A5" w:rsidRPr="00B70E4B" w:rsidRDefault="00D044A5" w:rsidP="00D044A5">
            <w:pPr>
              <w:pStyle w:val="BodyText"/>
              <w:rPr>
                <w:sz w:val="22"/>
                <w:szCs w:val="22"/>
                <w:lang w:val="en-US"/>
              </w:rPr>
            </w:pPr>
            <w:r w:rsidRPr="00B70E4B">
              <w:rPr>
                <w:sz w:val="22"/>
                <w:szCs w:val="22"/>
                <w:lang w:val="en-US"/>
              </w:rPr>
              <w:t>System bandwidth</w:t>
            </w:r>
          </w:p>
        </w:tc>
        <w:tc>
          <w:tcPr>
            <w:tcW w:w="2643" w:type="dxa"/>
            <w:gridSpan w:val="2"/>
          </w:tcPr>
          <w:p w:rsidR="00D044A5" w:rsidRPr="00B70E4B" w:rsidRDefault="00D044A5" w:rsidP="00D044A5">
            <w:pPr>
              <w:pStyle w:val="BodyText"/>
              <w:jc w:val="center"/>
              <w:rPr>
                <w:sz w:val="22"/>
                <w:szCs w:val="22"/>
                <w:lang w:val="en-US"/>
              </w:rPr>
            </w:pPr>
            <w:r w:rsidRPr="00B70E4B">
              <w:rPr>
                <w:sz w:val="22"/>
                <w:szCs w:val="22"/>
                <w:lang w:val="en-US"/>
              </w:rPr>
              <w:t>10 MHz</w:t>
            </w:r>
          </w:p>
        </w:tc>
        <w:tc>
          <w:tcPr>
            <w:tcW w:w="4394" w:type="dxa"/>
          </w:tcPr>
          <w:p w:rsidR="00D044A5" w:rsidRPr="00B70E4B" w:rsidRDefault="00D044A5" w:rsidP="00D044A5">
            <w:pPr>
              <w:pStyle w:val="BodyText"/>
              <w:rPr>
                <w:sz w:val="22"/>
                <w:szCs w:val="22"/>
                <w:lang w:val="en-US"/>
              </w:rPr>
            </w:pPr>
          </w:p>
        </w:tc>
      </w:tr>
      <w:tr w:rsidR="00D044A5" w:rsidRPr="00B70E4B" w:rsidTr="00D044A5">
        <w:tc>
          <w:tcPr>
            <w:tcW w:w="2143" w:type="dxa"/>
          </w:tcPr>
          <w:p w:rsidR="00D044A5" w:rsidRPr="00B70E4B" w:rsidRDefault="00D044A5" w:rsidP="00D044A5">
            <w:pPr>
              <w:pStyle w:val="BodyText"/>
              <w:rPr>
                <w:sz w:val="22"/>
                <w:szCs w:val="22"/>
                <w:lang w:val="en-US"/>
              </w:rPr>
            </w:pPr>
            <w:r w:rsidRPr="00B70E4B">
              <w:rPr>
                <w:sz w:val="22"/>
                <w:szCs w:val="22"/>
                <w:lang w:val="en-US"/>
              </w:rPr>
              <w:t>UE utilization of sidelink</w:t>
            </w:r>
          </w:p>
        </w:tc>
        <w:tc>
          <w:tcPr>
            <w:tcW w:w="2643" w:type="dxa"/>
            <w:gridSpan w:val="2"/>
          </w:tcPr>
          <w:p w:rsidR="00D044A5" w:rsidRPr="00B70E4B" w:rsidRDefault="00D044A5" w:rsidP="00D044A5">
            <w:pPr>
              <w:pStyle w:val="BodyText"/>
              <w:jc w:val="center"/>
              <w:rPr>
                <w:sz w:val="22"/>
                <w:szCs w:val="22"/>
                <w:lang w:val="en-US"/>
              </w:rPr>
            </w:pPr>
            <w:r w:rsidRPr="00B70E4B">
              <w:rPr>
                <w:sz w:val="22"/>
                <w:szCs w:val="22"/>
                <w:lang w:val="en-US"/>
              </w:rPr>
              <w:t>62%</w:t>
            </w:r>
          </w:p>
        </w:tc>
        <w:tc>
          <w:tcPr>
            <w:tcW w:w="4394" w:type="dxa"/>
          </w:tcPr>
          <w:p w:rsidR="00D044A5" w:rsidRPr="00B70E4B" w:rsidRDefault="00D044A5" w:rsidP="00D044A5">
            <w:pPr>
              <w:pStyle w:val="BodyText"/>
              <w:rPr>
                <w:sz w:val="22"/>
                <w:szCs w:val="22"/>
                <w:lang w:val="en-US"/>
              </w:rPr>
            </w:pPr>
          </w:p>
        </w:tc>
      </w:tr>
      <w:tr w:rsidR="00D044A5" w:rsidRPr="00B70E4B" w:rsidTr="00D044A5">
        <w:tc>
          <w:tcPr>
            <w:tcW w:w="2143" w:type="dxa"/>
          </w:tcPr>
          <w:p w:rsidR="00D044A5" w:rsidRPr="00B70E4B" w:rsidRDefault="00D044A5" w:rsidP="00D044A5">
            <w:pPr>
              <w:pStyle w:val="BodyText"/>
              <w:rPr>
                <w:sz w:val="22"/>
                <w:szCs w:val="22"/>
                <w:lang w:val="en-US"/>
              </w:rPr>
            </w:pPr>
            <w:r w:rsidRPr="00B70E4B">
              <w:rPr>
                <w:sz w:val="22"/>
                <w:szCs w:val="22"/>
                <w:lang w:val="en-US"/>
              </w:rPr>
              <w:t>Transmitted 802.11 signal</w:t>
            </w:r>
          </w:p>
        </w:tc>
        <w:tc>
          <w:tcPr>
            <w:tcW w:w="2643" w:type="dxa"/>
            <w:gridSpan w:val="2"/>
          </w:tcPr>
          <w:p w:rsidR="00D044A5" w:rsidRPr="00B70E4B" w:rsidRDefault="00D044A5" w:rsidP="00D044A5">
            <w:pPr>
              <w:pStyle w:val="BodyText"/>
              <w:jc w:val="center"/>
              <w:rPr>
                <w:sz w:val="22"/>
                <w:szCs w:val="22"/>
                <w:lang w:val="en-US"/>
              </w:rPr>
            </w:pPr>
            <w:r w:rsidRPr="00B70E4B">
              <w:rPr>
                <w:sz w:val="22"/>
                <w:szCs w:val="22"/>
                <w:lang w:val="en-US"/>
              </w:rPr>
              <w:t>802.11p frames</w:t>
            </w:r>
          </w:p>
        </w:tc>
        <w:tc>
          <w:tcPr>
            <w:tcW w:w="4394" w:type="dxa"/>
          </w:tcPr>
          <w:p w:rsidR="00D044A5" w:rsidRPr="00B70E4B" w:rsidRDefault="00D044A5" w:rsidP="00D044A5">
            <w:pPr>
              <w:pStyle w:val="BodyText"/>
              <w:rPr>
                <w:sz w:val="22"/>
                <w:szCs w:val="22"/>
                <w:lang w:val="en-US"/>
              </w:rPr>
            </w:pPr>
            <w:r w:rsidRPr="00B70E4B">
              <w:rPr>
                <w:sz w:val="22"/>
                <w:szCs w:val="22"/>
                <w:lang w:val="en-US"/>
              </w:rPr>
              <w:t>0.4 ms for 300B transmission at 6Mbps</w:t>
            </w:r>
          </w:p>
        </w:tc>
      </w:tr>
      <w:tr w:rsidR="00D044A5" w:rsidRPr="00B70E4B" w:rsidTr="00D044A5">
        <w:tc>
          <w:tcPr>
            <w:tcW w:w="2143" w:type="dxa"/>
          </w:tcPr>
          <w:p w:rsidR="00D044A5" w:rsidRPr="00B70E4B" w:rsidRDefault="00D044A5" w:rsidP="00D044A5">
            <w:pPr>
              <w:pStyle w:val="BodyText"/>
              <w:rPr>
                <w:sz w:val="22"/>
                <w:szCs w:val="22"/>
                <w:lang w:val="en-US"/>
              </w:rPr>
            </w:pPr>
            <w:r w:rsidRPr="00B70E4B">
              <w:rPr>
                <w:sz w:val="22"/>
                <w:szCs w:val="22"/>
                <w:lang w:val="en-US"/>
              </w:rPr>
              <w:t>Transmitted LTE signal</w:t>
            </w:r>
          </w:p>
        </w:tc>
        <w:tc>
          <w:tcPr>
            <w:tcW w:w="2643" w:type="dxa"/>
            <w:gridSpan w:val="2"/>
          </w:tcPr>
          <w:p w:rsidR="00D044A5" w:rsidRPr="00B70E4B" w:rsidRDefault="00D044A5" w:rsidP="00D044A5">
            <w:pPr>
              <w:pStyle w:val="BodyText"/>
              <w:jc w:val="center"/>
              <w:rPr>
                <w:sz w:val="22"/>
                <w:szCs w:val="22"/>
                <w:lang w:val="en-US"/>
              </w:rPr>
            </w:pPr>
            <w:r w:rsidRPr="00B70E4B">
              <w:rPr>
                <w:sz w:val="22"/>
                <w:szCs w:val="22"/>
                <w:lang w:val="en-US"/>
              </w:rPr>
              <w:t>LTE SL V2V subframes</w:t>
            </w:r>
          </w:p>
        </w:tc>
        <w:tc>
          <w:tcPr>
            <w:tcW w:w="4394" w:type="dxa"/>
          </w:tcPr>
          <w:p w:rsidR="00D044A5" w:rsidRPr="00B70E4B" w:rsidRDefault="00D044A5" w:rsidP="00D044A5">
            <w:pPr>
              <w:pStyle w:val="BodyText"/>
              <w:rPr>
                <w:sz w:val="22"/>
                <w:szCs w:val="22"/>
                <w:lang w:val="en-US"/>
              </w:rPr>
            </w:pPr>
            <w:r w:rsidRPr="00B70E4B">
              <w:rPr>
                <w:sz w:val="22"/>
                <w:szCs w:val="22"/>
                <w:lang w:val="en-US"/>
              </w:rPr>
              <w:t>1ms length, SA adjacent to data</w:t>
            </w:r>
          </w:p>
        </w:tc>
      </w:tr>
      <w:tr w:rsidR="008A28A2" w:rsidRPr="00B70E4B" w:rsidTr="00D044A5">
        <w:tc>
          <w:tcPr>
            <w:tcW w:w="2143" w:type="dxa"/>
          </w:tcPr>
          <w:p w:rsidR="008A28A2" w:rsidRPr="00B70E4B" w:rsidRDefault="008A28A2" w:rsidP="00D044A5">
            <w:pPr>
              <w:pStyle w:val="BodyText"/>
              <w:rPr>
                <w:sz w:val="22"/>
                <w:szCs w:val="22"/>
                <w:lang w:val="en-US"/>
              </w:rPr>
            </w:pPr>
            <w:r w:rsidRPr="00B70E4B">
              <w:rPr>
                <w:sz w:val="22"/>
                <w:szCs w:val="22"/>
                <w:lang w:val="en-US"/>
              </w:rPr>
              <w:t>LTE signal bandwidth</w:t>
            </w:r>
          </w:p>
        </w:tc>
        <w:tc>
          <w:tcPr>
            <w:tcW w:w="1367" w:type="dxa"/>
          </w:tcPr>
          <w:p w:rsidR="008A28A2" w:rsidRPr="00B70E4B" w:rsidRDefault="008A28A2" w:rsidP="00D044A5">
            <w:pPr>
              <w:pStyle w:val="BodyText"/>
              <w:jc w:val="center"/>
              <w:rPr>
                <w:sz w:val="22"/>
                <w:szCs w:val="22"/>
                <w:lang w:val="en-US"/>
              </w:rPr>
            </w:pPr>
            <w:r w:rsidRPr="00B70E4B">
              <w:rPr>
                <w:sz w:val="22"/>
                <w:szCs w:val="22"/>
                <w:lang w:val="en-US"/>
              </w:rPr>
              <w:t>50 PRBs</w:t>
            </w:r>
          </w:p>
        </w:tc>
        <w:tc>
          <w:tcPr>
            <w:tcW w:w="1276" w:type="dxa"/>
          </w:tcPr>
          <w:p w:rsidR="008A28A2" w:rsidRPr="00B70E4B" w:rsidRDefault="008A28A2" w:rsidP="00D044A5">
            <w:pPr>
              <w:pStyle w:val="BodyText"/>
              <w:jc w:val="center"/>
              <w:rPr>
                <w:sz w:val="22"/>
                <w:szCs w:val="22"/>
                <w:lang w:val="en-US"/>
              </w:rPr>
            </w:pPr>
            <w:r w:rsidRPr="00B70E4B">
              <w:rPr>
                <w:sz w:val="22"/>
                <w:szCs w:val="22"/>
                <w:lang w:val="en-US"/>
              </w:rPr>
              <w:t>25 PRBs</w:t>
            </w:r>
          </w:p>
        </w:tc>
        <w:tc>
          <w:tcPr>
            <w:tcW w:w="4394" w:type="dxa"/>
          </w:tcPr>
          <w:p w:rsidR="008A28A2" w:rsidRPr="00B70E4B" w:rsidRDefault="008A28A2" w:rsidP="00D044A5">
            <w:pPr>
              <w:pStyle w:val="BodyText"/>
              <w:rPr>
                <w:sz w:val="22"/>
                <w:szCs w:val="22"/>
                <w:lang w:val="en-US"/>
              </w:rPr>
            </w:pPr>
          </w:p>
        </w:tc>
      </w:tr>
      <w:tr w:rsidR="00D044A5" w:rsidRPr="00B70E4B" w:rsidTr="00D044A5">
        <w:tc>
          <w:tcPr>
            <w:tcW w:w="2143" w:type="dxa"/>
          </w:tcPr>
          <w:p w:rsidR="00D044A5" w:rsidRPr="00B70E4B" w:rsidRDefault="00D044A5" w:rsidP="00D044A5">
            <w:pPr>
              <w:pStyle w:val="BodyText"/>
              <w:rPr>
                <w:sz w:val="22"/>
                <w:szCs w:val="22"/>
                <w:lang w:val="en-US"/>
              </w:rPr>
            </w:pPr>
            <w:r w:rsidRPr="00B70E4B">
              <w:rPr>
                <w:sz w:val="22"/>
                <w:szCs w:val="22"/>
                <w:lang w:val="en-US"/>
              </w:rPr>
              <w:t>Propagation condition</w:t>
            </w:r>
          </w:p>
        </w:tc>
        <w:tc>
          <w:tcPr>
            <w:tcW w:w="2643" w:type="dxa"/>
            <w:gridSpan w:val="2"/>
          </w:tcPr>
          <w:p w:rsidR="00D044A5" w:rsidRPr="00B70E4B" w:rsidRDefault="00D044A5" w:rsidP="00D044A5">
            <w:pPr>
              <w:pStyle w:val="BodyText"/>
              <w:jc w:val="center"/>
              <w:rPr>
                <w:sz w:val="22"/>
                <w:szCs w:val="22"/>
                <w:lang w:val="en-US"/>
              </w:rPr>
            </w:pPr>
            <w:r w:rsidRPr="00B70E4B">
              <w:rPr>
                <w:sz w:val="22"/>
                <w:szCs w:val="22"/>
                <w:lang w:val="en-US"/>
              </w:rPr>
              <w:t>V2V NLoS fading channel, 70km/h</w:t>
            </w:r>
          </w:p>
        </w:tc>
        <w:tc>
          <w:tcPr>
            <w:tcW w:w="4394" w:type="dxa"/>
          </w:tcPr>
          <w:p w:rsidR="00D044A5" w:rsidRPr="00B70E4B" w:rsidRDefault="00D044A5" w:rsidP="00D044A5">
            <w:pPr>
              <w:pStyle w:val="BodyText"/>
              <w:rPr>
                <w:sz w:val="22"/>
                <w:szCs w:val="22"/>
                <w:lang w:val="en-US"/>
              </w:rPr>
            </w:pPr>
          </w:p>
        </w:tc>
      </w:tr>
    </w:tbl>
    <w:p w:rsidR="008A28A2" w:rsidRPr="00B70E4B" w:rsidRDefault="008A28A2" w:rsidP="008A28A2">
      <w:pPr>
        <w:pStyle w:val="BodyText"/>
        <w:spacing w:after="240"/>
        <w:jc w:val="both"/>
        <w:rPr>
          <w:sz w:val="22"/>
          <w:szCs w:val="22"/>
          <w:lang w:val="en-US"/>
        </w:rPr>
      </w:pPr>
    </w:p>
    <w:p w:rsidR="00EB20B5" w:rsidRPr="00B70E4B" w:rsidRDefault="00D044A5" w:rsidP="00EB20B5">
      <w:pPr>
        <w:pStyle w:val="BodyText"/>
        <w:spacing w:after="240"/>
        <w:jc w:val="both"/>
        <w:rPr>
          <w:sz w:val="22"/>
          <w:szCs w:val="22"/>
          <w:lang w:val="en-US"/>
        </w:rPr>
      </w:pPr>
      <w:r w:rsidRPr="00B70E4B">
        <w:rPr>
          <w:sz w:val="22"/>
          <w:szCs w:val="22"/>
          <w:lang w:val="en-US"/>
        </w:rPr>
        <w:t>Two kinds of CBR detectors are investigated:</w:t>
      </w:r>
    </w:p>
    <w:p w:rsidR="00EB20B5" w:rsidRPr="00B70E4B" w:rsidRDefault="00EB20B5" w:rsidP="00EB20B5">
      <w:pPr>
        <w:pStyle w:val="BodyText"/>
        <w:numPr>
          <w:ilvl w:val="0"/>
          <w:numId w:val="19"/>
        </w:numPr>
        <w:spacing w:after="240"/>
        <w:jc w:val="both"/>
        <w:rPr>
          <w:sz w:val="22"/>
          <w:szCs w:val="22"/>
          <w:lang w:val="en-US"/>
        </w:rPr>
      </w:pPr>
      <w:r w:rsidRPr="00B70E4B">
        <w:rPr>
          <w:sz w:val="22"/>
          <w:szCs w:val="22"/>
          <w:lang w:val="en-US"/>
        </w:rPr>
        <w:t xml:space="preserve">The 802.11p CBR detector samples the signal at 10MHz and compares the power of 8 us time-domain probes with the threshold -85dBm. </w:t>
      </w:r>
    </w:p>
    <w:p w:rsidR="00EB20B5" w:rsidRPr="00B70E4B" w:rsidRDefault="00EB20B5" w:rsidP="00EB20B5">
      <w:pPr>
        <w:pStyle w:val="BodyText"/>
        <w:numPr>
          <w:ilvl w:val="0"/>
          <w:numId w:val="19"/>
        </w:numPr>
        <w:spacing w:after="240"/>
        <w:jc w:val="both"/>
        <w:rPr>
          <w:sz w:val="22"/>
          <w:szCs w:val="22"/>
          <w:lang w:val="en-US"/>
        </w:rPr>
      </w:pPr>
      <w:r w:rsidRPr="00B70E4B">
        <w:rPr>
          <w:sz w:val="22"/>
          <w:szCs w:val="22"/>
          <w:lang w:val="en-US"/>
        </w:rPr>
        <w:t>The LTE detector operates in frequency domain after sampling the signal at 15.36MHz. We consider two versions:</w:t>
      </w:r>
    </w:p>
    <w:p w:rsidR="00EB20B5" w:rsidRPr="00B70E4B" w:rsidRDefault="00EB20B5" w:rsidP="00EB20B5">
      <w:pPr>
        <w:pStyle w:val="BodyText"/>
        <w:numPr>
          <w:ilvl w:val="1"/>
          <w:numId w:val="19"/>
        </w:numPr>
        <w:spacing w:after="240"/>
        <w:jc w:val="both"/>
        <w:rPr>
          <w:sz w:val="22"/>
          <w:szCs w:val="22"/>
          <w:lang w:val="en-US"/>
        </w:rPr>
      </w:pPr>
      <w:r w:rsidRPr="00B70E4B">
        <w:rPr>
          <w:sz w:val="22"/>
          <w:szCs w:val="22"/>
          <w:u w:val="single"/>
          <w:lang w:val="en-US"/>
        </w:rPr>
        <w:t>Rx.Alt.1</w:t>
      </w:r>
      <w:r w:rsidRPr="00B70E4B">
        <w:rPr>
          <w:sz w:val="22"/>
          <w:szCs w:val="22"/>
          <w:lang w:val="en-US"/>
        </w:rPr>
        <w:t>: a single wideband probe is considered spanning 600 subcarriers;</w:t>
      </w:r>
    </w:p>
    <w:p w:rsidR="00EB20B5" w:rsidRPr="00B70E4B" w:rsidRDefault="00EB20B5" w:rsidP="00EB20B5">
      <w:pPr>
        <w:pStyle w:val="BodyText"/>
        <w:numPr>
          <w:ilvl w:val="1"/>
          <w:numId w:val="19"/>
        </w:numPr>
        <w:spacing w:after="240"/>
        <w:jc w:val="both"/>
        <w:rPr>
          <w:sz w:val="22"/>
          <w:szCs w:val="22"/>
          <w:lang w:val="en-US"/>
        </w:rPr>
      </w:pPr>
      <w:r w:rsidRPr="00B70E4B">
        <w:rPr>
          <w:sz w:val="22"/>
          <w:szCs w:val="22"/>
          <w:u w:val="single"/>
          <w:lang w:val="en-US"/>
        </w:rPr>
        <w:t>Rx.Alt.2</w:t>
      </w:r>
      <w:r w:rsidRPr="00B70E4B">
        <w:rPr>
          <w:sz w:val="22"/>
          <w:szCs w:val="22"/>
          <w:lang w:val="en-US"/>
        </w:rPr>
        <w:t>: 5 narrowband probes are independently evaluated per symbol, spanning 125 subcarriers each;</w:t>
      </w:r>
    </w:p>
    <w:p w:rsidR="00EB20B5" w:rsidRPr="00B70E4B" w:rsidRDefault="00EB20B5" w:rsidP="00EB20B5">
      <w:pPr>
        <w:pStyle w:val="BodyText"/>
        <w:spacing w:after="240"/>
        <w:jc w:val="both"/>
        <w:rPr>
          <w:sz w:val="22"/>
          <w:szCs w:val="22"/>
          <w:lang w:val="en-US"/>
        </w:rPr>
      </w:pPr>
      <w:r w:rsidRPr="00B70E4B">
        <w:rPr>
          <w:sz w:val="22"/>
          <w:szCs w:val="22"/>
          <w:lang w:val="en-US"/>
        </w:rPr>
        <w:t>The probes are compared with a -85dBm/10MHz threshold to estimate CBR.</w:t>
      </w:r>
    </w:p>
    <w:p w:rsidR="00EB20B5" w:rsidRPr="00B70E4B" w:rsidRDefault="00D044A5" w:rsidP="00EB20B5">
      <w:pPr>
        <w:pStyle w:val="BodyText"/>
        <w:spacing w:after="240"/>
        <w:jc w:val="both"/>
        <w:rPr>
          <w:sz w:val="22"/>
          <w:szCs w:val="22"/>
          <w:lang w:val="en-US"/>
        </w:rPr>
      </w:pPr>
      <w:r w:rsidRPr="00B70E4B">
        <w:rPr>
          <w:sz w:val="22"/>
          <w:szCs w:val="22"/>
          <w:lang w:val="en-US"/>
        </w:rPr>
        <w:t>T</w:t>
      </w:r>
      <w:r w:rsidR="00EB20B5" w:rsidRPr="00B70E4B">
        <w:rPr>
          <w:sz w:val="22"/>
          <w:szCs w:val="22"/>
          <w:lang w:val="en-US"/>
        </w:rPr>
        <w:t xml:space="preserve">o enable </w:t>
      </w:r>
      <w:r w:rsidRPr="00B70E4B">
        <w:rPr>
          <w:sz w:val="22"/>
          <w:szCs w:val="22"/>
          <w:lang w:val="en-US"/>
        </w:rPr>
        <w:t xml:space="preserve">a </w:t>
      </w:r>
      <w:r w:rsidR="00EB20B5" w:rsidRPr="00B70E4B">
        <w:rPr>
          <w:sz w:val="22"/>
          <w:szCs w:val="22"/>
          <w:lang w:val="en-US"/>
        </w:rPr>
        <w:t>fair comparison of OFDMA</w:t>
      </w:r>
      <w:r w:rsidRPr="00B70E4B">
        <w:rPr>
          <w:sz w:val="22"/>
          <w:szCs w:val="22"/>
          <w:lang w:val="en-US"/>
        </w:rPr>
        <w:t xml:space="preserve"> and TDMA transmissions </w:t>
      </w:r>
      <w:r w:rsidR="00EB20B5" w:rsidRPr="00B70E4B">
        <w:rPr>
          <w:sz w:val="22"/>
          <w:szCs w:val="22"/>
          <w:lang w:val="en-US"/>
        </w:rPr>
        <w:t>the received signal PSD</w:t>
      </w:r>
      <w:r w:rsidRPr="00B70E4B">
        <w:rPr>
          <w:sz w:val="22"/>
          <w:szCs w:val="22"/>
          <w:lang w:val="en-US"/>
        </w:rPr>
        <w:t xml:space="preserve"> is shown</w:t>
      </w:r>
      <w:r w:rsidR="00EB20B5" w:rsidRPr="00B70E4B">
        <w:rPr>
          <w:sz w:val="22"/>
          <w:szCs w:val="22"/>
          <w:lang w:val="en-US"/>
        </w:rPr>
        <w:t xml:space="preserve"> on the x-axis. Ideally a TDMA system such as 802.11p should estimate the “TDMA” CBR, while an OFDMA system such as LTE should estimate the “FDMA” CBR.</w:t>
      </w:r>
    </w:p>
    <w:p w:rsidR="00EB20B5" w:rsidRPr="00B70E4B" w:rsidRDefault="00EB20B5" w:rsidP="00EB20B5">
      <w:pPr>
        <w:rPr>
          <w:sz w:val="22"/>
          <w:szCs w:val="22"/>
          <w:lang w:val="en-US"/>
        </w:rPr>
      </w:pPr>
    </w:p>
    <w:p w:rsidR="00EB20B5" w:rsidRPr="00B70E4B" w:rsidRDefault="00EB20B5" w:rsidP="00EB20B5">
      <w:pPr>
        <w:rPr>
          <w:sz w:val="22"/>
          <w:szCs w:val="22"/>
          <w:lang w:val="en-US"/>
        </w:rPr>
      </w:pPr>
    </w:p>
    <w:p w:rsidR="003576E5" w:rsidRPr="00B70E4B" w:rsidRDefault="003576E5" w:rsidP="003576E5">
      <w:pPr>
        <w:pStyle w:val="Heading2"/>
        <w:rPr>
          <w:lang w:val="en-US"/>
        </w:rPr>
      </w:pPr>
      <w:r w:rsidRPr="00B70E4B">
        <w:rPr>
          <w:lang w:val="en-US"/>
        </w:rPr>
        <w:lastRenderedPageBreak/>
        <w:t>Wideband LTE transmission</w:t>
      </w:r>
    </w:p>
    <w:p w:rsidR="003576E5" w:rsidRPr="00B70E4B" w:rsidRDefault="003576E5" w:rsidP="003576E5">
      <w:pPr>
        <w:keepNext/>
        <w:rPr>
          <w:lang w:val="en-US"/>
        </w:rPr>
      </w:pPr>
      <w:r w:rsidRPr="00B70E4B">
        <w:rPr>
          <w:noProof/>
          <w:lang w:val="sv-SE" w:eastAsia="zh-CN"/>
        </w:rPr>
        <w:drawing>
          <wp:inline distT="0" distB="0" distL="0" distR="0" wp14:anchorId="550A2818" wp14:editId="01B1062D">
            <wp:extent cx="3042000" cy="2278800"/>
            <wp:effectExtent l="0" t="0" r="635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42000" cy="2278800"/>
                    </a:xfrm>
                    <a:prstGeom prst="rect">
                      <a:avLst/>
                    </a:prstGeom>
                  </pic:spPr>
                </pic:pic>
              </a:graphicData>
            </a:graphic>
          </wp:inline>
        </w:drawing>
      </w:r>
      <w:r w:rsidRPr="00B70E4B">
        <w:rPr>
          <w:noProof/>
          <w:lang w:val="sv-SE" w:eastAsia="zh-CN"/>
        </w:rPr>
        <w:drawing>
          <wp:inline distT="0" distB="0" distL="0" distR="0" wp14:anchorId="7F469D92" wp14:editId="5317F735">
            <wp:extent cx="3042000" cy="2278800"/>
            <wp:effectExtent l="0" t="0" r="635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42000" cy="2278800"/>
                    </a:xfrm>
                    <a:prstGeom prst="rect">
                      <a:avLst/>
                    </a:prstGeom>
                  </pic:spPr>
                </pic:pic>
              </a:graphicData>
            </a:graphic>
          </wp:inline>
        </w:drawing>
      </w:r>
    </w:p>
    <w:p w:rsidR="003576E5" w:rsidRPr="00B70E4B" w:rsidRDefault="003576E5" w:rsidP="003576E5">
      <w:pPr>
        <w:pStyle w:val="Caption"/>
        <w:tabs>
          <w:tab w:val="left" w:pos="1134"/>
        </w:tabs>
        <w:ind w:left="1134" w:hanging="1134"/>
      </w:pPr>
      <w:r w:rsidRPr="00B70E4B">
        <w:t xml:space="preserve">Figure </w:t>
      </w:r>
      <w:r w:rsidRPr="00B70E4B">
        <w:fldChar w:fldCharType="begin"/>
      </w:r>
      <w:r w:rsidRPr="00B70E4B">
        <w:instrText xml:space="preserve"> SEQ Figure \* ARABIC </w:instrText>
      </w:r>
      <w:r w:rsidRPr="00B70E4B">
        <w:fldChar w:fldCharType="separate"/>
      </w:r>
      <w:r w:rsidR="00CE4B27" w:rsidRPr="00B70E4B">
        <w:rPr>
          <w:noProof/>
        </w:rPr>
        <w:t>1</w:t>
      </w:r>
      <w:r w:rsidRPr="00B70E4B">
        <w:fldChar w:fldCharType="end"/>
      </w:r>
      <w:r w:rsidRPr="00B70E4B">
        <w:t xml:space="preserve">: </w:t>
      </w:r>
      <w:r w:rsidRPr="00B70E4B">
        <w:tab/>
      </w:r>
      <w:r w:rsidRPr="00B70E4B">
        <w:rPr>
          <w:b w:val="0"/>
        </w:rPr>
        <w:t>Wideband LTE transmission (Tx.Alt.1) with (Left) wideband LTE CBR detector (Rx.Alt.1), and (Right) Wideband LTE transmission (Tx.Alt.1) with frequency-selective LTE CBR detector (Rx.Alt.2).</w:t>
      </w:r>
    </w:p>
    <w:p w:rsidR="003576E5" w:rsidRPr="00B70E4B" w:rsidRDefault="003576E5" w:rsidP="003576E5">
      <w:pPr>
        <w:pStyle w:val="Caption"/>
      </w:pPr>
    </w:p>
    <w:p w:rsidR="003576E5" w:rsidRPr="00B70E4B" w:rsidRDefault="003576E5" w:rsidP="003576E5">
      <w:pPr>
        <w:rPr>
          <w:b/>
          <w:sz w:val="22"/>
          <w:szCs w:val="22"/>
          <w:lang w:val="en-US"/>
        </w:rPr>
      </w:pPr>
      <w:r w:rsidRPr="00B70E4B">
        <w:rPr>
          <w:b/>
          <w:sz w:val="22"/>
          <w:szCs w:val="22"/>
          <w:lang w:val="en-US"/>
        </w:rPr>
        <w:t>Observation 4:</w:t>
      </w:r>
    </w:p>
    <w:p w:rsidR="003576E5" w:rsidRPr="00B70E4B" w:rsidRDefault="003576E5" w:rsidP="00550400">
      <w:pPr>
        <w:pStyle w:val="ListParagraph"/>
        <w:numPr>
          <w:ilvl w:val="0"/>
          <w:numId w:val="18"/>
        </w:numPr>
        <w:spacing w:after="0"/>
        <w:ind w:left="568"/>
        <w:rPr>
          <w:b/>
          <w:sz w:val="22"/>
          <w:szCs w:val="22"/>
          <w:lang w:val="en-US"/>
        </w:rPr>
      </w:pPr>
      <w:r w:rsidRPr="00B70E4B">
        <w:rPr>
          <w:b/>
          <w:sz w:val="22"/>
          <w:szCs w:val="22"/>
          <w:lang w:val="en-US"/>
        </w:rPr>
        <w:t>For wideband LTE transmission the following is observed:</w:t>
      </w:r>
    </w:p>
    <w:p w:rsidR="00CE4B27" w:rsidRPr="00B70E4B" w:rsidRDefault="003576E5" w:rsidP="00ED03D6">
      <w:pPr>
        <w:pStyle w:val="ListParagraph"/>
        <w:numPr>
          <w:ilvl w:val="1"/>
          <w:numId w:val="18"/>
        </w:numPr>
        <w:spacing w:after="0"/>
        <w:rPr>
          <w:b/>
          <w:sz w:val="22"/>
          <w:szCs w:val="22"/>
          <w:lang w:val="en-US"/>
        </w:rPr>
      </w:pPr>
      <w:r w:rsidRPr="00B70E4B">
        <w:rPr>
          <w:b/>
          <w:sz w:val="22"/>
          <w:szCs w:val="22"/>
          <w:lang w:val="en-US"/>
        </w:rPr>
        <w:t>Asymptotically for high received PSD, the 802.11p CBR detector slightly underestimates LTE-load due to the GP.</w:t>
      </w:r>
    </w:p>
    <w:p w:rsidR="00CE4B27" w:rsidRPr="00B70E4B" w:rsidRDefault="003576E5" w:rsidP="00003ED9">
      <w:pPr>
        <w:pStyle w:val="ListParagraph"/>
        <w:numPr>
          <w:ilvl w:val="1"/>
          <w:numId w:val="18"/>
        </w:numPr>
        <w:spacing w:after="0"/>
        <w:rPr>
          <w:b/>
          <w:sz w:val="22"/>
          <w:szCs w:val="22"/>
          <w:lang w:val="en-US"/>
        </w:rPr>
      </w:pPr>
      <w:r w:rsidRPr="00B70E4B">
        <w:rPr>
          <w:b/>
          <w:sz w:val="22"/>
          <w:szCs w:val="22"/>
          <w:lang w:val="en-US"/>
        </w:rPr>
        <w:t>Asymptotically for high received PSD, the LTE CBR detector slightly overestimates 802.11p-load due to edge effects.</w:t>
      </w:r>
    </w:p>
    <w:p w:rsidR="003576E5" w:rsidRPr="00B70E4B" w:rsidRDefault="003576E5" w:rsidP="00003ED9">
      <w:pPr>
        <w:pStyle w:val="ListParagraph"/>
        <w:numPr>
          <w:ilvl w:val="1"/>
          <w:numId w:val="18"/>
        </w:numPr>
        <w:spacing w:after="0"/>
        <w:rPr>
          <w:b/>
          <w:sz w:val="22"/>
          <w:szCs w:val="22"/>
          <w:lang w:val="en-US"/>
        </w:rPr>
      </w:pPr>
      <w:r w:rsidRPr="00B70E4B">
        <w:rPr>
          <w:b/>
          <w:sz w:val="22"/>
          <w:szCs w:val="22"/>
          <w:lang w:val="en-US"/>
        </w:rPr>
        <w:t>The LTE frequency-selective CBR detector is slightly less sensitive than the wideband CBR detector.</w:t>
      </w:r>
      <w:r w:rsidR="00D044A5" w:rsidRPr="00B70E4B">
        <w:rPr>
          <w:b/>
          <w:sz w:val="22"/>
          <w:szCs w:val="22"/>
          <w:lang w:val="en-US"/>
        </w:rPr>
        <w:t xml:space="preserve"> This might be due to </w:t>
      </w:r>
      <w:r w:rsidRPr="00B70E4B">
        <w:rPr>
          <w:b/>
          <w:sz w:val="22"/>
          <w:szCs w:val="22"/>
          <w:lang w:val="en-US"/>
        </w:rPr>
        <w:t>effect of fading on the signal.</w:t>
      </w:r>
    </w:p>
    <w:p w:rsidR="003576E5" w:rsidRPr="00B70E4B" w:rsidRDefault="003576E5" w:rsidP="003576E5">
      <w:pPr>
        <w:pStyle w:val="Caption"/>
      </w:pPr>
    </w:p>
    <w:p w:rsidR="003576E5" w:rsidRPr="00B70E4B" w:rsidRDefault="003576E5" w:rsidP="003576E5">
      <w:pPr>
        <w:rPr>
          <w:lang w:val="en-US"/>
        </w:rPr>
      </w:pPr>
    </w:p>
    <w:p w:rsidR="003576E5" w:rsidRPr="00B70E4B" w:rsidRDefault="003576E5" w:rsidP="003576E5">
      <w:pPr>
        <w:pStyle w:val="Heading2"/>
        <w:rPr>
          <w:lang w:val="en-US"/>
        </w:rPr>
      </w:pPr>
      <w:r w:rsidRPr="00B70E4B">
        <w:rPr>
          <w:lang w:val="en-US"/>
        </w:rPr>
        <w:t>Half-band LTE transmission</w:t>
      </w:r>
    </w:p>
    <w:p w:rsidR="00CE4B27" w:rsidRPr="00B70E4B" w:rsidRDefault="00CE4B27" w:rsidP="00CE4B27">
      <w:pPr>
        <w:keepNext/>
        <w:rPr>
          <w:lang w:val="en-US"/>
        </w:rPr>
      </w:pPr>
      <w:r w:rsidRPr="00B70E4B">
        <w:rPr>
          <w:noProof/>
          <w:lang w:val="sv-SE" w:eastAsia="zh-CN"/>
        </w:rPr>
        <w:drawing>
          <wp:inline distT="0" distB="0" distL="0" distR="0" wp14:anchorId="006203A7" wp14:editId="4B32C082">
            <wp:extent cx="3038400" cy="227880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38400" cy="2278800"/>
                    </a:xfrm>
                    <a:prstGeom prst="rect">
                      <a:avLst/>
                    </a:prstGeom>
                    <a:noFill/>
                  </pic:spPr>
                </pic:pic>
              </a:graphicData>
            </a:graphic>
          </wp:inline>
        </w:drawing>
      </w:r>
      <w:r w:rsidRPr="00B70E4B">
        <w:rPr>
          <w:noProof/>
          <w:lang w:val="sv-SE" w:eastAsia="zh-CN"/>
        </w:rPr>
        <w:drawing>
          <wp:inline distT="0" distB="0" distL="0" distR="0" wp14:anchorId="751026D2" wp14:editId="07AE4E96">
            <wp:extent cx="3038400" cy="227880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38400" cy="2278800"/>
                    </a:xfrm>
                    <a:prstGeom prst="rect">
                      <a:avLst/>
                    </a:prstGeom>
                  </pic:spPr>
                </pic:pic>
              </a:graphicData>
            </a:graphic>
          </wp:inline>
        </w:drawing>
      </w:r>
    </w:p>
    <w:p w:rsidR="003576E5" w:rsidRPr="00B70E4B" w:rsidRDefault="00CE4B27" w:rsidP="008D4158">
      <w:pPr>
        <w:pStyle w:val="Caption"/>
        <w:tabs>
          <w:tab w:val="left" w:pos="1134"/>
        </w:tabs>
        <w:ind w:left="1134" w:hanging="1134"/>
        <w:rPr>
          <w:b w:val="0"/>
        </w:rPr>
      </w:pPr>
      <w:r w:rsidRPr="00B70E4B">
        <w:t xml:space="preserve">Figure </w:t>
      </w:r>
      <w:r w:rsidRPr="00B70E4B">
        <w:fldChar w:fldCharType="begin"/>
      </w:r>
      <w:r w:rsidRPr="00B70E4B">
        <w:instrText xml:space="preserve"> SEQ Figure \* ARABIC </w:instrText>
      </w:r>
      <w:r w:rsidRPr="00B70E4B">
        <w:fldChar w:fldCharType="separate"/>
      </w:r>
      <w:r w:rsidRPr="00B70E4B">
        <w:rPr>
          <w:noProof/>
        </w:rPr>
        <w:t>2</w:t>
      </w:r>
      <w:r w:rsidRPr="00B70E4B">
        <w:fldChar w:fldCharType="end"/>
      </w:r>
      <w:r w:rsidRPr="00B70E4B">
        <w:t>:</w:t>
      </w:r>
      <w:r w:rsidR="008D4158" w:rsidRPr="00B70E4B">
        <w:t xml:space="preserve"> </w:t>
      </w:r>
      <w:r w:rsidR="008D4158" w:rsidRPr="00B70E4B">
        <w:tab/>
      </w:r>
      <w:r w:rsidR="008D4158" w:rsidRPr="00B70E4B">
        <w:rPr>
          <w:b w:val="0"/>
        </w:rPr>
        <w:t>Half-band LTE transmission (Tx.Alt.2) with (left) wideband LTE CBR detector (Rx.Alt.1), and (right) frequency-selective LTE CBR detector (Rx.Alt.2).</w:t>
      </w:r>
    </w:p>
    <w:p w:rsidR="00EA2CCB" w:rsidRPr="00B70E4B" w:rsidRDefault="00EA2CCB" w:rsidP="00EA2CCB">
      <w:pPr>
        <w:rPr>
          <w:lang w:val="en-US"/>
        </w:rPr>
      </w:pPr>
    </w:p>
    <w:p w:rsidR="008D4158" w:rsidRPr="00B70E4B" w:rsidRDefault="00EB2933" w:rsidP="008D4158">
      <w:pPr>
        <w:spacing w:after="0"/>
        <w:rPr>
          <w:rFonts w:ascii="Times" w:hAnsi="Times" w:cs="Times"/>
          <w:b/>
          <w:sz w:val="22"/>
          <w:szCs w:val="22"/>
          <w:lang w:val="en-US"/>
        </w:rPr>
      </w:pPr>
      <w:r w:rsidRPr="00B70E4B">
        <w:rPr>
          <w:rFonts w:ascii="Times" w:hAnsi="Times" w:cs="Times"/>
          <w:b/>
          <w:sz w:val="22"/>
          <w:szCs w:val="22"/>
          <w:lang w:val="en-US"/>
        </w:rPr>
        <w:t>Observation 5</w:t>
      </w:r>
      <w:r w:rsidR="008D4158" w:rsidRPr="00B70E4B">
        <w:rPr>
          <w:rFonts w:ascii="Times" w:hAnsi="Times" w:cs="Times"/>
          <w:b/>
          <w:sz w:val="22"/>
          <w:szCs w:val="22"/>
          <w:lang w:val="en-US"/>
        </w:rPr>
        <w:t>:</w:t>
      </w:r>
    </w:p>
    <w:p w:rsidR="008D4158" w:rsidRPr="00B70E4B" w:rsidRDefault="008D4158" w:rsidP="00241F70">
      <w:pPr>
        <w:pStyle w:val="ListParagraph"/>
        <w:numPr>
          <w:ilvl w:val="0"/>
          <w:numId w:val="17"/>
        </w:numPr>
        <w:spacing w:after="0"/>
        <w:ind w:left="360"/>
        <w:contextualSpacing w:val="0"/>
        <w:rPr>
          <w:rFonts w:ascii="Times" w:hAnsi="Times" w:cs="Times"/>
          <w:b/>
          <w:sz w:val="22"/>
          <w:szCs w:val="22"/>
          <w:lang w:val="en-US"/>
        </w:rPr>
      </w:pPr>
      <w:r w:rsidRPr="00B70E4B">
        <w:rPr>
          <w:rFonts w:ascii="Times" w:hAnsi="Times" w:cs="Times"/>
          <w:b/>
          <w:sz w:val="22"/>
          <w:szCs w:val="22"/>
          <w:lang w:val="en-US"/>
        </w:rPr>
        <w:t xml:space="preserve">For half-band LTE transmission the following is observed: </w:t>
      </w:r>
    </w:p>
    <w:p w:rsidR="008D4158" w:rsidRPr="00B70E4B" w:rsidRDefault="008D4158" w:rsidP="008D4158">
      <w:pPr>
        <w:pStyle w:val="ListParagraph"/>
        <w:numPr>
          <w:ilvl w:val="1"/>
          <w:numId w:val="17"/>
        </w:numPr>
        <w:spacing w:after="0"/>
        <w:contextualSpacing w:val="0"/>
        <w:rPr>
          <w:rFonts w:ascii="Times" w:hAnsi="Times" w:cs="Times"/>
          <w:b/>
          <w:sz w:val="22"/>
          <w:szCs w:val="22"/>
          <w:lang w:val="en-US"/>
        </w:rPr>
      </w:pPr>
      <w:r w:rsidRPr="00B70E4B">
        <w:rPr>
          <w:rFonts w:ascii="Times" w:hAnsi="Times" w:cs="Times"/>
          <w:b/>
          <w:sz w:val="22"/>
          <w:szCs w:val="22"/>
          <w:lang w:val="en-US"/>
        </w:rPr>
        <w:lastRenderedPageBreak/>
        <w:t xml:space="preserve">As expected the 802.11p CBR detector is less sensitive to LTE OFDMA signals compared to TDMA signals. </w:t>
      </w:r>
    </w:p>
    <w:p w:rsidR="008D4158" w:rsidRPr="00B70E4B" w:rsidRDefault="008D4158" w:rsidP="008D4158">
      <w:pPr>
        <w:pStyle w:val="ListParagraph"/>
        <w:numPr>
          <w:ilvl w:val="1"/>
          <w:numId w:val="17"/>
        </w:numPr>
        <w:spacing w:after="0"/>
        <w:contextualSpacing w:val="0"/>
        <w:rPr>
          <w:rFonts w:ascii="Times" w:hAnsi="Times" w:cs="Times"/>
          <w:b/>
          <w:sz w:val="22"/>
          <w:szCs w:val="22"/>
          <w:lang w:val="en-US"/>
        </w:rPr>
      </w:pPr>
      <w:r w:rsidRPr="00B70E4B">
        <w:rPr>
          <w:rFonts w:ascii="Times" w:hAnsi="Times" w:cs="Times"/>
          <w:b/>
          <w:sz w:val="22"/>
          <w:szCs w:val="22"/>
          <w:lang w:val="en-US"/>
        </w:rPr>
        <w:t>The LTE frequency-selective CBR detector correctly estimates the system load for the LTE OFDMA system.</w:t>
      </w:r>
    </w:p>
    <w:p w:rsidR="002C02E5" w:rsidRPr="00B70E4B" w:rsidRDefault="002C02E5" w:rsidP="00FA55D4">
      <w:pPr>
        <w:jc w:val="both"/>
        <w:rPr>
          <w:sz w:val="22"/>
          <w:lang w:val="en-US"/>
        </w:rPr>
      </w:pPr>
    </w:p>
    <w:p w:rsidR="00886185" w:rsidRPr="00B70E4B" w:rsidRDefault="00886185" w:rsidP="00886185">
      <w:pPr>
        <w:pStyle w:val="Heading1"/>
        <w:rPr>
          <w:lang w:val="en-US"/>
        </w:rPr>
      </w:pPr>
      <w:r w:rsidRPr="00B70E4B">
        <w:rPr>
          <w:lang w:val="en-US"/>
        </w:rPr>
        <w:t>Summary</w:t>
      </w:r>
    </w:p>
    <w:p w:rsidR="00D044A5" w:rsidRPr="00B70E4B" w:rsidRDefault="00D044A5" w:rsidP="00FC19FC">
      <w:pPr>
        <w:jc w:val="both"/>
        <w:rPr>
          <w:sz w:val="22"/>
          <w:lang w:val="en-US"/>
        </w:rPr>
      </w:pPr>
      <w:r w:rsidRPr="00B70E4B">
        <w:rPr>
          <w:sz w:val="22"/>
          <w:lang w:val="en-US"/>
        </w:rPr>
        <w:t xml:space="preserve">In this contribution we have highlighted relevant RAN4 parts of a companion RAN1 contribution </w:t>
      </w:r>
      <w:r w:rsidRPr="00B70E4B">
        <w:rPr>
          <w:sz w:val="22"/>
          <w:lang w:val="en-US"/>
        </w:rPr>
        <w:fldChar w:fldCharType="begin"/>
      </w:r>
      <w:r w:rsidRPr="00B70E4B">
        <w:rPr>
          <w:sz w:val="22"/>
          <w:lang w:val="en-US"/>
        </w:rPr>
        <w:instrText xml:space="preserve"> REF _Ref463002632 \r \h </w:instrText>
      </w:r>
      <w:r w:rsidRPr="00B70E4B">
        <w:rPr>
          <w:sz w:val="22"/>
          <w:lang w:val="en-US"/>
        </w:rPr>
      </w:r>
      <w:r w:rsidRPr="00B70E4B">
        <w:rPr>
          <w:sz w:val="22"/>
          <w:lang w:val="en-US"/>
        </w:rPr>
        <w:fldChar w:fldCharType="separate"/>
      </w:r>
      <w:r w:rsidRPr="00B70E4B">
        <w:rPr>
          <w:sz w:val="22"/>
          <w:lang w:val="en-US"/>
        </w:rPr>
        <w:t>[1]</w:t>
      </w:r>
      <w:r w:rsidRPr="00B70E4B">
        <w:rPr>
          <w:sz w:val="22"/>
          <w:lang w:val="en-US"/>
        </w:rPr>
        <w:fldChar w:fldCharType="end"/>
      </w:r>
      <w:r w:rsidRPr="00B70E4B">
        <w:rPr>
          <w:sz w:val="22"/>
          <w:lang w:val="en-US"/>
        </w:rPr>
        <w:t>. The proposed definition of Channel Busy Ratio for purpose of Decentralized Congestion Control</w:t>
      </w:r>
      <w:r w:rsidR="00314F0F" w:rsidRPr="00B70E4B">
        <w:rPr>
          <w:sz w:val="22"/>
          <w:lang w:val="en-US"/>
        </w:rPr>
        <w:t xml:space="preserve"> has been provided. The foreseen outcome from RAN1 is that frequency-selective CBR will be selected, as justified by the presented simulations.</w:t>
      </w:r>
    </w:p>
    <w:p w:rsidR="00314F0F" w:rsidRPr="00B70E4B" w:rsidRDefault="00314F0F" w:rsidP="00FC19FC">
      <w:pPr>
        <w:jc w:val="both"/>
        <w:rPr>
          <w:sz w:val="22"/>
          <w:lang w:val="en-US"/>
        </w:rPr>
      </w:pPr>
      <w:r w:rsidRPr="00B70E4B">
        <w:rPr>
          <w:sz w:val="22"/>
          <w:lang w:val="en-US"/>
        </w:rPr>
        <w:t>The following observations were made:</w:t>
      </w:r>
    </w:p>
    <w:p w:rsidR="00314F0F" w:rsidRPr="00B70E4B" w:rsidRDefault="00314F0F" w:rsidP="00314F0F">
      <w:pPr>
        <w:pStyle w:val="BodyText"/>
        <w:spacing w:after="240"/>
        <w:rPr>
          <w:b/>
          <w:sz w:val="22"/>
          <w:szCs w:val="22"/>
          <w:lang w:val="en-US"/>
        </w:rPr>
      </w:pPr>
      <w:r w:rsidRPr="00B70E4B">
        <w:rPr>
          <w:b/>
          <w:sz w:val="22"/>
          <w:szCs w:val="22"/>
          <w:lang w:val="en-US"/>
        </w:rPr>
        <w:t xml:space="preserve">Observation 1: </w:t>
      </w:r>
    </w:p>
    <w:p w:rsidR="00314F0F" w:rsidRPr="00B70E4B" w:rsidRDefault="00314F0F" w:rsidP="00314F0F">
      <w:pPr>
        <w:pStyle w:val="BodyText"/>
        <w:numPr>
          <w:ilvl w:val="0"/>
          <w:numId w:val="13"/>
        </w:numPr>
        <w:spacing w:after="240"/>
        <w:jc w:val="both"/>
        <w:rPr>
          <w:b/>
          <w:sz w:val="22"/>
          <w:szCs w:val="22"/>
          <w:lang w:val="en-US"/>
        </w:rPr>
      </w:pPr>
      <w:r w:rsidRPr="00B70E4B">
        <w:rPr>
          <w:b/>
          <w:sz w:val="22"/>
          <w:szCs w:val="22"/>
          <w:lang w:val="en-US"/>
        </w:rPr>
        <w:t xml:space="preserve">The channel occupancy level is crucial for the congestion control algorithms. </w:t>
      </w:r>
    </w:p>
    <w:p w:rsidR="00314F0F" w:rsidRPr="00B70E4B" w:rsidRDefault="00314F0F" w:rsidP="00314F0F">
      <w:pPr>
        <w:pStyle w:val="BodyText"/>
        <w:spacing w:after="240"/>
        <w:rPr>
          <w:b/>
          <w:sz w:val="22"/>
          <w:szCs w:val="22"/>
          <w:lang w:val="en-US"/>
        </w:rPr>
      </w:pPr>
      <w:r w:rsidRPr="00B70E4B">
        <w:rPr>
          <w:b/>
          <w:sz w:val="22"/>
          <w:szCs w:val="22"/>
          <w:lang w:val="en-US"/>
        </w:rPr>
        <w:t>Observation 2:</w:t>
      </w:r>
    </w:p>
    <w:p w:rsidR="00314F0F" w:rsidRPr="00B70E4B" w:rsidRDefault="00314F0F" w:rsidP="00314F0F">
      <w:pPr>
        <w:pStyle w:val="BodyText"/>
        <w:numPr>
          <w:ilvl w:val="0"/>
          <w:numId w:val="13"/>
        </w:numPr>
        <w:spacing w:after="240"/>
        <w:jc w:val="both"/>
        <w:rPr>
          <w:b/>
          <w:sz w:val="22"/>
          <w:szCs w:val="22"/>
          <w:lang w:val="en-US"/>
        </w:rPr>
      </w:pPr>
      <w:r w:rsidRPr="00B70E4B">
        <w:rPr>
          <w:b/>
          <w:sz w:val="22"/>
          <w:szCs w:val="22"/>
          <w:lang w:val="en-US"/>
        </w:rPr>
        <w:t xml:space="preserve">The CBR defined in </w:t>
      </w:r>
      <w:r w:rsidRPr="00B70E4B">
        <w:rPr>
          <w:b/>
          <w:sz w:val="22"/>
          <w:szCs w:val="22"/>
          <w:lang w:val="en-US"/>
        </w:rPr>
        <w:fldChar w:fldCharType="begin"/>
      </w:r>
      <w:r w:rsidRPr="00B70E4B">
        <w:rPr>
          <w:b/>
          <w:sz w:val="22"/>
          <w:szCs w:val="22"/>
          <w:lang w:val="en-US"/>
        </w:rPr>
        <w:instrText xml:space="preserve"> REF _Ref462753210 \r \h  \* MERGEFORMAT </w:instrText>
      </w:r>
      <w:r w:rsidRPr="00B70E4B">
        <w:rPr>
          <w:b/>
          <w:sz w:val="22"/>
          <w:szCs w:val="22"/>
          <w:lang w:val="en-US"/>
        </w:rPr>
      </w:r>
      <w:r w:rsidRPr="00B70E4B">
        <w:rPr>
          <w:b/>
          <w:sz w:val="22"/>
          <w:szCs w:val="22"/>
          <w:lang w:val="en-US"/>
        </w:rPr>
        <w:fldChar w:fldCharType="separate"/>
      </w:r>
      <w:r w:rsidRPr="00B70E4B">
        <w:rPr>
          <w:b/>
          <w:sz w:val="22"/>
          <w:szCs w:val="22"/>
          <w:lang w:val="en-US"/>
        </w:rPr>
        <w:t>[3]</w:t>
      </w:r>
      <w:r w:rsidRPr="00B70E4B">
        <w:rPr>
          <w:b/>
          <w:sz w:val="22"/>
          <w:szCs w:val="22"/>
          <w:lang w:val="en-US"/>
        </w:rPr>
        <w:fldChar w:fldCharType="end"/>
      </w:r>
      <w:r w:rsidRPr="00B70E4B">
        <w:rPr>
          <w:b/>
          <w:sz w:val="22"/>
          <w:szCs w:val="22"/>
          <w:lang w:val="en-US"/>
        </w:rPr>
        <w:fldChar w:fldCharType="begin"/>
      </w:r>
      <w:r w:rsidRPr="00B70E4B">
        <w:rPr>
          <w:b/>
          <w:sz w:val="22"/>
          <w:szCs w:val="22"/>
          <w:lang w:val="en-US"/>
        </w:rPr>
        <w:instrText xml:space="preserve"> REF _Ref450814624 \r \h  \* MERGEFORMAT </w:instrText>
      </w:r>
      <w:r w:rsidRPr="00B70E4B">
        <w:rPr>
          <w:b/>
          <w:sz w:val="22"/>
          <w:szCs w:val="22"/>
          <w:lang w:val="en-US"/>
        </w:rPr>
      </w:r>
      <w:r w:rsidRPr="00B70E4B">
        <w:rPr>
          <w:b/>
          <w:sz w:val="22"/>
          <w:szCs w:val="22"/>
          <w:lang w:val="en-US"/>
        </w:rPr>
        <w:fldChar w:fldCharType="separate"/>
      </w:r>
      <w:r w:rsidRPr="00B70E4B">
        <w:rPr>
          <w:b/>
          <w:sz w:val="22"/>
          <w:szCs w:val="22"/>
          <w:lang w:val="en-US"/>
        </w:rPr>
        <w:t>[4]</w:t>
      </w:r>
      <w:r w:rsidRPr="00B70E4B">
        <w:rPr>
          <w:b/>
          <w:sz w:val="22"/>
          <w:szCs w:val="22"/>
          <w:lang w:val="en-US"/>
        </w:rPr>
        <w:fldChar w:fldCharType="end"/>
      </w:r>
      <w:r w:rsidRPr="00B70E4B">
        <w:rPr>
          <w:b/>
          <w:sz w:val="22"/>
          <w:szCs w:val="22"/>
          <w:lang w:val="en-US"/>
        </w:rPr>
        <w:t xml:space="preserve"> can be considered as the channel occupancy level for congestion control in LTE-based ITS, under appropriate design of the sensing method. </w:t>
      </w:r>
    </w:p>
    <w:p w:rsidR="00314F0F" w:rsidRPr="00B70E4B" w:rsidRDefault="00314F0F" w:rsidP="00314F0F">
      <w:pPr>
        <w:pStyle w:val="BodyText"/>
        <w:spacing w:after="240"/>
        <w:rPr>
          <w:b/>
          <w:sz w:val="22"/>
          <w:lang w:val="en-US"/>
        </w:rPr>
      </w:pPr>
      <w:r w:rsidRPr="00B70E4B">
        <w:rPr>
          <w:b/>
          <w:sz w:val="22"/>
          <w:lang w:val="en-US"/>
        </w:rPr>
        <w:t>Observation 3:</w:t>
      </w:r>
    </w:p>
    <w:p w:rsidR="00314F0F" w:rsidRPr="00B70E4B" w:rsidRDefault="00314F0F" w:rsidP="00314F0F">
      <w:pPr>
        <w:pStyle w:val="BodyText"/>
        <w:numPr>
          <w:ilvl w:val="0"/>
          <w:numId w:val="13"/>
        </w:numPr>
        <w:spacing w:after="240"/>
        <w:jc w:val="both"/>
        <w:rPr>
          <w:sz w:val="22"/>
          <w:lang w:val="en-US"/>
        </w:rPr>
      </w:pPr>
      <w:r w:rsidRPr="00B70E4B">
        <w:rPr>
          <w:b/>
          <w:sz w:val="22"/>
          <w:lang w:val="en-US"/>
        </w:rPr>
        <w:t>When designing the method for CBR measurement for LTE-based ITS, one needs to consider that a transmission can use only part of the system bandwidth.</w:t>
      </w:r>
    </w:p>
    <w:p w:rsidR="00314F0F" w:rsidRPr="00B70E4B" w:rsidRDefault="00314F0F" w:rsidP="00314F0F">
      <w:pPr>
        <w:rPr>
          <w:b/>
          <w:sz w:val="22"/>
          <w:szCs w:val="22"/>
          <w:lang w:val="en-US"/>
        </w:rPr>
      </w:pPr>
      <w:r w:rsidRPr="00B70E4B">
        <w:rPr>
          <w:b/>
          <w:sz w:val="22"/>
          <w:szCs w:val="22"/>
          <w:lang w:val="en-US"/>
        </w:rPr>
        <w:t>Observation 4:</w:t>
      </w:r>
    </w:p>
    <w:p w:rsidR="00314F0F" w:rsidRPr="00B70E4B" w:rsidRDefault="00314F0F" w:rsidP="00314F0F">
      <w:pPr>
        <w:pStyle w:val="ListParagraph"/>
        <w:numPr>
          <w:ilvl w:val="0"/>
          <w:numId w:val="18"/>
        </w:numPr>
        <w:spacing w:after="0"/>
        <w:ind w:left="568"/>
        <w:rPr>
          <w:b/>
          <w:sz w:val="22"/>
          <w:szCs w:val="22"/>
          <w:lang w:val="en-US"/>
        </w:rPr>
      </w:pPr>
      <w:r w:rsidRPr="00B70E4B">
        <w:rPr>
          <w:b/>
          <w:sz w:val="22"/>
          <w:szCs w:val="22"/>
          <w:lang w:val="en-US"/>
        </w:rPr>
        <w:t>For wideband LTE transmission the following is observed:</w:t>
      </w:r>
    </w:p>
    <w:p w:rsidR="00314F0F" w:rsidRPr="00B70E4B" w:rsidRDefault="00314F0F" w:rsidP="00314F0F">
      <w:pPr>
        <w:pStyle w:val="ListParagraph"/>
        <w:numPr>
          <w:ilvl w:val="1"/>
          <w:numId w:val="18"/>
        </w:numPr>
        <w:spacing w:after="0"/>
        <w:rPr>
          <w:b/>
          <w:sz w:val="22"/>
          <w:szCs w:val="22"/>
          <w:lang w:val="en-US"/>
        </w:rPr>
      </w:pPr>
      <w:r w:rsidRPr="00B70E4B">
        <w:rPr>
          <w:b/>
          <w:sz w:val="22"/>
          <w:szCs w:val="22"/>
          <w:lang w:val="en-US"/>
        </w:rPr>
        <w:t>Asymptotically for high received PSD, the 802.11p CBR detector slightly underestimates LTE-load due to the GP.</w:t>
      </w:r>
    </w:p>
    <w:p w:rsidR="00314F0F" w:rsidRPr="00B70E4B" w:rsidRDefault="00314F0F" w:rsidP="00314F0F">
      <w:pPr>
        <w:pStyle w:val="ListParagraph"/>
        <w:numPr>
          <w:ilvl w:val="1"/>
          <w:numId w:val="18"/>
        </w:numPr>
        <w:spacing w:after="0"/>
        <w:rPr>
          <w:b/>
          <w:sz w:val="22"/>
          <w:szCs w:val="22"/>
          <w:lang w:val="en-US"/>
        </w:rPr>
      </w:pPr>
      <w:r w:rsidRPr="00B70E4B">
        <w:rPr>
          <w:b/>
          <w:sz w:val="22"/>
          <w:szCs w:val="22"/>
          <w:lang w:val="en-US"/>
        </w:rPr>
        <w:t>Asymptotically for high received PSD, the LTE CBR detector slightly overestimates 802.11p-load due to edge effects.</w:t>
      </w:r>
    </w:p>
    <w:p w:rsidR="00314F0F" w:rsidRPr="00B70E4B" w:rsidRDefault="00314F0F" w:rsidP="00314F0F">
      <w:pPr>
        <w:pStyle w:val="ListParagraph"/>
        <w:numPr>
          <w:ilvl w:val="1"/>
          <w:numId w:val="18"/>
        </w:numPr>
        <w:spacing w:after="0"/>
        <w:rPr>
          <w:b/>
          <w:sz w:val="22"/>
          <w:szCs w:val="22"/>
          <w:lang w:val="en-US"/>
        </w:rPr>
      </w:pPr>
      <w:r w:rsidRPr="00B70E4B">
        <w:rPr>
          <w:b/>
          <w:sz w:val="22"/>
          <w:szCs w:val="22"/>
          <w:lang w:val="en-US"/>
        </w:rPr>
        <w:t>The LTE frequency-selective CBR detector is slightly less sensitive than the wideband CBR detector. This might be due to effect of fading on the signal.</w:t>
      </w:r>
    </w:p>
    <w:p w:rsidR="00314F0F" w:rsidRPr="00B70E4B" w:rsidRDefault="00314F0F" w:rsidP="00314F0F">
      <w:pPr>
        <w:spacing w:after="0"/>
        <w:rPr>
          <w:b/>
          <w:sz w:val="22"/>
          <w:szCs w:val="22"/>
          <w:lang w:val="en-US"/>
        </w:rPr>
      </w:pPr>
    </w:p>
    <w:p w:rsidR="00314F0F" w:rsidRPr="00B70E4B" w:rsidRDefault="00314F0F" w:rsidP="00314F0F">
      <w:pPr>
        <w:spacing w:after="0"/>
        <w:rPr>
          <w:rFonts w:ascii="Times" w:hAnsi="Times" w:cs="Times"/>
          <w:b/>
          <w:sz w:val="22"/>
          <w:szCs w:val="22"/>
          <w:lang w:val="en-US"/>
        </w:rPr>
      </w:pPr>
      <w:r w:rsidRPr="00B70E4B">
        <w:rPr>
          <w:rFonts w:ascii="Times" w:hAnsi="Times" w:cs="Times"/>
          <w:b/>
          <w:sz w:val="22"/>
          <w:szCs w:val="22"/>
          <w:lang w:val="en-US"/>
        </w:rPr>
        <w:t>Observation 5:</w:t>
      </w:r>
    </w:p>
    <w:p w:rsidR="00314F0F" w:rsidRPr="00B70E4B" w:rsidRDefault="00314F0F" w:rsidP="00314F0F">
      <w:pPr>
        <w:pStyle w:val="ListParagraph"/>
        <w:numPr>
          <w:ilvl w:val="0"/>
          <w:numId w:val="17"/>
        </w:numPr>
        <w:spacing w:after="0"/>
        <w:ind w:left="360"/>
        <w:contextualSpacing w:val="0"/>
        <w:rPr>
          <w:rFonts w:ascii="Times" w:hAnsi="Times" w:cs="Times"/>
          <w:b/>
          <w:sz w:val="22"/>
          <w:szCs w:val="22"/>
          <w:lang w:val="en-US"/>
        </w:rPr>
      </w:pPr>
      <w:r w:rsidRPr="00B70E4B">
        <w:rPr>
          <w:rFonts w:ascii="Times" w:hAnsi="Times" w:cs="Times"/>
          <w:b/>
          <w:sz w:val="22"/>
          <w:szCs w:val="22"/>
          <w:lang w:val="en-US"/>
        </w:rPr>
        <w:t xml:space="preserve">For half-band LTE transmission the following is observed: </w:t>
      </w:r>
    </w:p>
    <w:p w:rsidR="00314F0F" w:rsidRPr="00B70E4B" w:rsidRDefault="00314F0F" w:rsidP="00314F0F">
      <w:pPr>
        <w:pStyle w:val="ListParagraph"/>
        <w:numPr>
          <w:ilvl w:val="1"/>
          <w:numId w:val="17"/>
        </w:numPr>
        <w:spacing w:after="0"/>
        <w:contextualSpacing w:val="0"/>
        <w:rPr>
          <w:rFonts w:ascii="Times" w:hAnsi="Times" w:cs="Times"/>
          <w:b/>
          <w:sz w:val="22"/>
          <w:szCs w:val="22"/>
          <w:lang w:val="en-US"/>
        </w:rPr>
      </w:pPr>
      <w:r w:rsidRPr="00B70E4B">
        <w:rPr>
          <w:rFonts w:ascii="Times" w:hAnsi="Times" w:cs="Times"/>
          <w:b/>
          <w:sz w:val="22"/>
          <w:szCs w:val="22"/>
          <w:lang w:val="en-US"/>
        </w:rPr>
        <w:t xml:space="preserve">As expected the 802.11p CBR detector is less sensitive to LTE OFDMA signals compared to TDMA signals. </w:t>
      </w:r>
    </w:p>
    <w:p w:rsidR="00314F0F" w:rsidRPr="00B70E4B" w:rsidRDefault="00314F0F" w:rsidP="00314F0F">
      <w:pPr>
        <w:pStyle w:val="ListParagraph"/>
        <w:numPr>
          <w:ilvl w:val="1"/>
          <w:numId w:val="17"/>
        </w:numPr>
        <w:spacing w:after="0"/>
        <w:contextualSpacing w:val="0"/>
        <w:rPr>
          <w:rFonts w:ascii="Times" w:hAnsi="Times" w:cs="Times"/>
          <w:b/>
          <w:sz w:val="22"/>
          <w:szCs w:val="22"/>
          <w:lang w:val="en-US"/>
        </w:rPr>
      </w:pPr>
      <w:r w:rsidRPr="00B70E4B">
        <w:rPr>
          <w:rFonts w:ascii="Times" w:hAnsi="Times" w:cs="Times"/>
          <w:b/>
          <w:sz w:val="22"/>
          <w:szCs w:val="22"/>
          <w:lang w:val="en-US"/>
        </w:rPr>
        <w:t>The LTE frequency-selective CBR detector correctly estimates the system load for the LTE OFDMA system.</w:t>
      </w:r>
    </w:p>
    <w:p w:rsidR="00087CC0" w:rsidRPr="00B70E4B" w:rsidRDefault="00087CC0" w:rsidP="00087CC0">
      <w:pPr>
        <w:jc w:val="both"/>
        <w:rPr>
          <w:sz w:val="22"/>
          <w:lang w:val="en-US"/>
        </w:rPr>
      </w:pPr>
    </w:p>
    <w:p w:rsidR="00314F0F" w:rsidRPr="00B70E4B" w:rsidRDefault="00314F0F" w:rsidP="00087CC0">
      <w:pPr>
        <w:jc w:val="both"/>
        <w:rPr>
          <w:sz w:val="22"/>
          <w:lang w:val="en-US"/>
        </w:rPr>
      </w:pPr>
      <w:r w:rsidRPr="00B70E4B">
        <w:rPr>
          <w:sz w:val="22"/>
          <w:lang w:val="en-US"/>
        </w:rPr>
        <w:t>The following is proposed, conditioned on the outcome in RAN1:</w:t>
      </w:r>
    </w:p>
    <w:p w:rsidR="00314F0F" w:rsidRPr="00B70E4B" w:rsidRDefault="00314F0F" w:rsidP="00314F0F">
      <w:pPr>
        <w:pStyle w:val="BodyText"/>
        <w:jc w:val="both"/>
        <w:rPr>
          <w:b/>
          <w:sz w:val="22"/>
          <w:lang w:val="en-US"/>
        </w:rPr>
      </w:pPr>
      <w:r w:rsidRPr="00B70E4B">
        <w:rPr>
          <w:b/>
          <w:sz w:val="22"/>
          <w:lang w:val="en-US"/>
        </w:rPr>
        <w:t>Proposal 1:</w:t>
      </w:r>
    </w:p>
    <w:p w:rsidR="00314F0F" w:rsidRPr="00B70E4B" w:rsidRDefault="00314F0F" w:rsidP="00314F0F">
      <w:pPr>
        <w:pStyle w:val="BodyText"/>
        <w:numPr>
          <w:ilvl w:val="0"/>
          <w:numId w:val="16"/>
        </w:numPr>
        <w:spacing w:before="240"/>
        <w:jc w:val="both"/>
        <w:rPr>
          <w:b/>
          <w:sz w:val="22"/>
          <w:lang w:val="en-US"/>
        </w:rPr>
      </w:pPr>
      <w:r w:rsidRPr="00B70E4B">
        <w:rPr>
          <w:b/>
          <w:sz w:val="22"/>
          <w:lang w:val="en-US"/>
        </w:rPr>
        <w:t>RAN4 shall investigate the required number of samples taken for a probe for reliable statistics to be acquired</w:t>
      </w:r>
    </w:p>
    <w:p w:rsidR="00314F0F" w:rsidRPr="00B70E4B" w:rsidRDefault="00314F0F" w:rsidP="00087CC0">
      <w:pPr>
        <w:pStyle w:val="BodyText"/>
        <w:numPr>
          <w:ilvl w:val="0"/>
          <w:numId w:val="16"/>
        </w:numPr>
        <w:spacing w:before="240"/>
        <w:jc w:val="both"/>
        <w:rPr>
          <w:b/>
          <w:sz w:val="22"/>
          <w:lang w:val="en-US"/>
        </w:rPr>
      </w:pPr>
      <w:r w:rsidRPr="00B70E4B">
        <w:rPr>
          <w:b/>
          <w:sz w:val="22"/>
          <w:lang w:val="en-US"/>
        </w:rPr>
        <w:t xml:space="preserve">RAN4 shall determine a threshold </w:t>
      </w:r>
      <m:oMath>
        <m:sSub>
          <m:sSubPr>
            <m:ctrlPr>
              <w:rPr>
                <w:rFonts w:ascii="Cambria Math" w:hAnsi="Cambria Math"/>
                <w:b/>
                <w:i/>
                <w:sz w:val="22"/>
                <w:lang w:val="en-US"/>
              </w:rPr>
            </m:ctrlPr>
          </m:sSubPr>
          <m:e>
            <m:r>
              <m:rPr>
                <m:sty m:val="bi"/>
              </m:rPr>
              <w:rPr>
                <w:rFonts w:ascii="Cambria Math" w:hAnsi="Cambria Math"/>
                <w:sz w:val="22"/>
                <w:lang w:val="en-US"/>
              </w:rPr>
              <m:t>S</m:t>
            </m:r>
          </m:e>
          <m:sub>
            <m:r>
              <m:rPr>
                <m:sty m:val="bi"/>
              </m:rPr>
              <w:rPr>
                <w:rFonts w:ascii="Cambria Math" w:hAnsi="Cambria Math"/>
                <w:sz w:val="22"/>
                <w:lang w:val="en-US"/>
              </w:rPr>
              <m:t>th</m:t>
            </m:r>
          </m:sub>
        </m:sSub>
      </m:oMath>
      <w:r w:rsidRPr="00B70E4B">
        <w:rPr>
          <w:b/>
          <w:sz w:val="22"/>
          <w:lang w:val="en-US"/>
        </w:rPr>
        <w:t xml:space="preserve"> that provides a good balance between false alarm and missed alarm given the effective noise power on the probed subband.</w:t>
      </w:r>
    </w:p>
    <w:p w:rsidR="00314F0F" w:rsidRPr="00B70E4B" w:rsidRDefault="00314F0F" w:rsidP="00087CC0">
      <w:pPr>
        <w:jc w:val="both"/>
        <w:rPr>
          <w:sz w:val="22"/>
          <w:lang w:val="en-US"/>
        </w:rPr>
      </w:pPr>
    </w:p>
    <w:p w:rsidR="00BD2156" w:rsidRPr="00B70E4B" w:rsidRDefault="00D80957" w:rsidP="00BB4411">
      <w:pPr>
        <w:pStyle w:val="Heading1"/>
        <w:pBdr>
          <w:top w:val="single" w:sz="12" w:space="2" w:color="auto"/>
        </w:pBdr>
        <w:rPr>
          <w:sz w:val="32"/>
          <w:lang w:val="en-US"/>
        </w:rPr>
      </w:pPr>
      <w:r w:rsidRPr="00B70E4B">
        <w:rPr>
          <w:sz w:val="32"/>
          <w:lang w:val="en-US"/>
        </w:rPr>
        <w:t>References</w:t>
      </w:r>
      <w:bookmarkEnd w:id="2"/>
      <w:bookmarkEnd w:id="3"/>
    </w:p>
    <w:p w:rsidR="00087CC0" w:rsidRPr="00B70E4B" w:rsidRDefault="00FD1F2C" w:rsidP="009C554F">
      <w:pPr>
        <w:numPr>
          <w:ilvl w:val="0"/>
          <w:numId w:val="9"/>
        </w:numPr>
        <w:tabs>
          <w:tab w:val="left" w:pos="851"/>
        </w:tabs>
        <w:rPr>
          <w:rFonts w:ascii="Arial" w:hAnsi="Arial" w:cs="Arial"/>
          <w:sz w:val="22"/>
          <w:szCs w:val="22"/>
          <w:lang w:val="en-US"/>
        </w:rPr>
      </w:pPr>
      <w:bookmarkStart w:id="4" w:name="_Ref463002632"/>
      <w:r w:rsidRPr="00B70E4B">
        <w:rPr>
          <w:rFonts w:ascii="Arial" w:hAnsi="Arial" w:cs="Arial"/>
          <w:sz w:val="22"/>
          <w:szCs w:val="22"/>
          <w:lang w:val="en-US"/>
        </w:rPr>
        <w:t>R1-1609709, “Radio measurements for congestion control for V2X”, Ericsson</w:t>
      </w:r>
      <w:bookmarkEnd w:id="4"/>
      <w:r w:rsidRPr="00B70E4B">
        <w:rPr>
          <w:rFonts w:ascii="Arial" w:hAnsi="Arial" w:cs="Arial"/>
          <w:sz w:val="22"/>
          <w:szCs w:val="22"/>
          <w:lang w:val="en-US"/>
        </w:rPr>
        <w:t xml:space="preserve"> </w:t>
      </w:r>
    </w:p>
    <w:p w:rsidR="00B66648" w:rsidRPr="00B70E4B" w:rsidRDefault="00B66648" w:rsidP="00B66648">
      <w:pPr>
        <w:numPr>
          <w:ilvl w:val="0"/>
          <w:numId w:val="9"/>
        </w:numPr>
        <w:tabs>
          <w:tab w:val="left" w:pos="851"/>
        </w:tabs>
        <w:rPr>
          <w:rFonts w:ascii="Arial" w:hAnsi="Arial" w:cs="Arial"/>
          <w:sz w:val="22"/>
          <w:szCs w:val="22"/>
          <w:lang w:val="en-US"/>
        </w:rPr>
      </w:pPr>
      <w:bookmarkStart w:id="5" w:name="_Ref463002989"/>
      <w:r w:rsidRPr="00B70E4B">
        <w:rPr>
          <w:rFonts w:ascii="Arial" w:hAnsi="Arial" w:cs="Arial"/>
          <w:sz w:val="22"/>
          <w:szCs w:val="22"/>
          <w:lang w:val="en-US"/>
        </w:rPr>
        <w:t>R1-1609712, “Congestion Control Framework for V2V”, Ericsson</w:t>
      </w:r>
      <w:bookmarkEnd w:id="5"/>
    </w:p>
    <w:p w:rsidR="00CD2F3F" w:rsidRPr="00B70E4B" w:rsidRDefault="00CD2F3F" w:rsidP="00CD2F3F">
      <w:pPr>
        <w:pStyle w:val="ListParagraph"/>
        <w:numPr>
          <w:ilvl w:val="0"/>
          <w:numId w:val="9"/>
        </w:numPr>
        <w:spacing w:after="0"/>
        <w:contextualSpacing w:val="0"/>
        <w:rPr>
          <w:rFonts w:ascii="Arial" w:hAnsi="Arial" w:cs="Arial"/>
          <w:sz w:val="22"/>
          <w:szCs w:val="22"/>
          <w:lang w:val="en-US"/>
        </w:rPr>
      </w:pPr>
      <w:bookmarkStart w:id="6" w:name="_Ref462753210"/>
      <w:r w:rsidRPr="00B70E4B">
        <w:rPr>
          <w:rFonts w:ascii="Arial" w:hAnsi="Arial" w:cs="Arial"/>
          <w:sz w:val="22"/>
          <w:szCs w:val="22"/>
          <w:lang w:val="en-US"/>
        </w:rPr>
        <w:t>Draft ETSI EN 302 571 V2.0.0 (2016-03), Radio communications equipment operating in the 5 855 MHz to 5 925 MHz frequency band; Harmonized Standard covering the essential requirements of article 3.2 of Directive 2014/53/EU</w:t>
      </w:r>
      <w:bookmarkEnd w:id="6"/>
    </w:p>
    <w:p w:rsidR="00CD2F3F" w:rsidRPr="00B70E4B" w:rsidRDefault="00CD2F3F" w:rsidP="00CD2F3F">
      <w:pPr>
        <w:pStyle w:val="ListParagraph"/>
        <w:numPr>
          <w:ilvl w:val="0"/>
          <w:numId w:val="9"/>
        </w:numPr>
        <w:spacing w:after="0"/>
        <w:contextualSpacing w:val="0"/>
        <w:rPr>
          <w:rFonts w:ascii="Arial" w:hAnsi="Arial" w:cs="Arial"/>
          <w:sz w:val="22"/>
          <w:szCs w:val="22"/>
          <w:lang w:val="en-US"/>
        </w:rPr>
      </w:pPr>
      <w:bookmarkStart w:id="7" w:name="_Ref450814624"/>
      <w:r w:rsidRPr="00B70E4B">
        <w:rPr>
          <w:rFonts w:ascii="Arial" w:hAnsi="Arial" w:cs="Arial"/>
          <w:sz w:val="22"/>
          <w:szCs w:val="22"/>
          <w:lang w:val="en-US"/>
        </w:rPr>
        <w:t>ETSI TS 102 687 (V1.1.1) (07-2011): "Intelligent Transport Systems (ITS); Decentralized Congestion Control Mechanisms for Intelligent Transport Systems operating in the 5 GHz range; Access layer part".</w:t>
      </w:r>
      <w:bookmarkEnd w:id="7"/>
    </w:p>
    <w:p w:rsidR="00B66648" w:rsidRPr="00B70E4B" w:rsidRDefault="00B66648" w:rsidP="00CD2F3F">
      <w:pPr>
        <w:tabs>
          <w:tab w:val="left" w:pos="851"/>
        </w:tabs>
        <w:ind w:left="360"/>
        <w:rPr>
          <w:rFonts w:ascii="Arial" w:hAnsi="Arial" w:cs="Arial"/>
          <w:sz w:val="22"/>
          <w:szCs w:val="22"/>
          <w:lang w:val="en-US"/>
        </w:rPr>
      </w:pPr>
    </w:p>
    <w:p w:rsidR="006B4160" w:rsidRPr="00B70E4B" w:rsidRDefault="006B4160" w:rsidP="00294649">
      <w:pPr>
        <w:tabs>
          <w:tab w:val="left" w:pos="851"/>
        </w:tabs>
        <w:rPr>
          <w:rFonts w:ascii="Arial" w:hAnsi="Arial" w:cs="Arial"/>
          <w:sz w:val="22"/>
          <w:szCs w:val="22"/>
          <w:lang w:val="en-US"/>
        </w:rPr>
      </w:pPr>
    </w:p>
    <w:p w:rsidR="00294649" w:rsidRPr="00B70E4B" w:rsidRDefault="00294649" w:rsidP="00294649">
      <w:pPr>
        <w:tabs>
          <w:tab w:val="left" w:pos="851"/>
        </w:tabs>
        <w:rPr>
          <w:rFonts w:ascii="Arial" w:hAnsi="Arial" w:cs="Arial"/>
          <w:sz w:val="22"/>
          <w:szCs w:val="22"/>
          <w:lang w:val="en-US"/>
        </w:rPr>
      </w:pPr>
    </w:p>
    <w:p w:rsidR="00294649" w:rsidRPr="00B70E4B" w:rsidRDefault="00294649" w:rsidP="00FE4E16">
      <w:pPr>
        <w:tabs>
          <w:tab w:val="left" w:pos="851"/>
        </w:tabs>
        <w:ind w:left="360"/>
        <w:rPr>
          <w:rFonts w:ascii="Arial" w:hAnsi="Arial" w:cs="Arial"/>
          <w:sz w:val="22"/>
          <w:szCs w:val="22"/>
          <w:lang w:val="en-US"/>
        </w:rPr>
      </w:pPr>
    </w:p>
    <w:sectPr w:rsidR="00294649" w:rsidRPr="00B70E4B" w:rsidSect="00D04AFA">
      <w:footerReference w:type="even" r:id="rId12"/>
      <w:footerReference w:type="defaul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210E" w:rsidRDefault="00AB210E">
      <w:r>
        <w:separator/>
      </w:r>
    </w:p>
    <w:p w:rsidR="00AB210E" w:rsidRDefault="00AB210E"/>
  </w:endnote>
  <w:endnote w:type="continuationSeparator" w:id="0">
    <w:p w:rsidR="00AB210E" w:rsidRDefault="00AB210E">
      <w:r>
        <w:continuationSeparator/>
      </w:r>
    </w:p>
    <w:p w:rsidR="00AB210E" w:rsidRDefault="00AB21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265EE" w:rsidRDefault="006265EE">
    <w:pPr>
      <w:pStyle w:val="Footer"/>
    </w:pPr>
  </w:p>
  <w:p w:rsidR="001A6B39" w:rsidRDefault="001A6B3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758DE">
      <w:rPr>
        <w:rStyle w:val="PageNumber"/>
        <w:noProof/>
      </w:rPr>
      <w:t>1</w:t>
    </w:r>
    <w:r>
      <w:rPr>
        <w:rStyle w:val="PageNumber"/>
      </w:rPr>
      <w:fldChar w:fldCharType="end"/>
    </w:r>
  </w:p>
  <w:p w:rsidR="006265EE" w:rsidRDefault="006265EE">
    <w:pPr>
      <w:pStyle w:val="Footer"/>
    </w:pPr>
  </w:p>
  <w:p w:rsidR="001A6B39" w:rsidRDefault="001A6B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210E" w:rsidRDefault="00AB210E">
      <w:r>
        <w:separator/>
      </w:r>
    </w:p>
    <w:p w:rsidR="00AB210E" w:rsidRDefault="00AB210E"/>
  </w:footnote>
  <w:footnote w:type="continuationSeparator" w:id="0">
    <w:p w:rsidR="00AB210E" w:rsidRDefault="00AB210E">
      <w:r>
        <w:continuationSeparator/>
      </w:r>
    </w:p>
    <w:p w:rsidR="00AB210E" w:rsidRDefault="00AB210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65BCB"/>
    <w:multiLevelType w:val="hybridMultilevel"/>
    <w:tmpl w:val="7072489A"/>
    <w:lvl w:ilvl="0" w:tplc="9CC6EE5E">
      <w:start w:val="1"/>
      <w:numFmt w:val="bullet"/>
      <w:lvlText w:val="•"/>
      <w:lvlJc w:val="left"/>
      <w:pPr>
        <w:tabs>
          <w:tab w:val="num" w:pos="720"/>
        </w:tabs>
        <w:ind w:left="720" w:hanging="360"/>
      </w:pPr>
      <w:rPr>
        <w:rFonts w:ascii="Arial" w:hAnsi="Arial" w:hint="default"/>
      </w:rPr>
    </w:lvl>
    <w:lvl w:ilvl="1" w:tplc="3D2C11E4">
      <w:start w:val="2665"/>
      <w:numFmt w:val="bullet"/>
      <w:lvlText w:val="–"/>
      <w:lvlJc w:val="left"/>
      <w:pPr>
        <w:tabs>
          <w:tab w:val="num" w:pos="1440"/>
        </w:tabs>
        <w:ind w:left="1440" w:hanging="360"/>
      </w:pPr>
      <w:rPr>
        <w:rFonts w:ascii="Arial" w:hAnsi="Arial" w:hint="default"/>
      </w:rPr>
    </w:lvl>
    <w:lvl w:ilvl="2" w:tplc="BA002694">
      <w:start w:val="2665"/>
      <w:numFmt w:val="bullet"/>
      <w:lvlText w:val="•"/>
      <w:lvlJc w:val="left"/>
      <w:pPr>
        <w:tabs>
          <w:tab w:val="num" w:pos="2160"/>
        </w:tabs>
        <w:ind w:left="2160" w:hanging="360"/>
      </w:pPr>
      <w:rPr>
        <w:rFonts w:ascii="Arial" w:hAnsi="Arial" w:hint="default"/>
      </w:rPr>
    </w:lvl>
    <w:lvl w:ilvl="3" w:tplc="46CECA50" w:tentative="1">
      <w:start w:val="1"/>
      <w:numFmt w:val="bullet"/>
      <w:lvlText w:val="•"/>
      <w:lvlJc w:val="left"/>
      <w:pPr>
        <w:tabs>
          <w:tab w:val="num" w:pos="2880"/>
        </w:tabs>
        <w:ind w:left="2880" w:hanging="360"/>
      </w:pPr>
      <w:rPr>
        <w:rFonts w:ascii="Arial" w:hAnsi="Arial" w:hint="default"/>
      </w:rPr>
    </w:lvl>
    <w:lvl w:ilvl="4" w:tplc="F258DBF4" w:tentative="1">
      <w:start w:val="1"/>
      <w:numFmt w:val="bullet"/>
      <w:lvlText w:val="•"/>
      <w:lvlJc w:val="left"/>
      <w:pPr>
        <w:tabs>
          <w:tab w:val="num" w:pos="3600"/>
        </w:tabs>
        <w:ind w:left="3600" w:hanging="360"/>
      </w:pPr>
      <w:rPr>
        <w:rFonts w:ascii="Arial" w:hAnsi="Arial" w:hint="default"/>
      </w:rPr>
    </w:lvl>
    <w:lvl w:ilvl="5" w:tplc="AD925EB4" w:tentative="1">
      <w:start w:val="1"/>
      <w:numFmt w:val="bullet"/>
      <w:lvlText w:val="•"/>
      <w:lvlJc w:val="left"/>
      <w:pPr>
        <w:tabs>
          <w:tab w:val="num" w:pos="4320"/>
        </w:tabs>
        <w:ind w:left="4320" w:hanging="360"/>
      </w:pPr>
      <w:rPr>
        <w:rFonts w:ascii="Arial" w:hAnsi="Arial" w:hint="default"/>
      </w:rPr>
    </w:lvl>
    <w:lvl w:ilvl="6" w:tplc="8E0009EE" w:tentative="1">
      <w:start w:val="1"/>
      <w:numFmt w:val="bullet"/>
      <w:lvlText w:val="•"/>
      <w:lvlJc w:val="left"/>
      <w:pPr>
        <w:tabs>
          <w:tab w:val="num" w:pos="5040"/>
        </w:tabs>
        <w:ind w:left="5040" w:hanging="360"/>
      </w:pPr>
      <w:rPr>
        <w:rFonts w:ascii="Arial" w:hAnsi="Arial" w:hint="default"/>
      </w:rPr>
    </w:lvl>
    <w:lvl w:ilvl="7" w:tplc="49D607E8" w:tentative="1">
      <w:start w:val="1"/>
      <w:numFmt w:val="bullet"/>
      <w:lvlText w:val="•"/>
      <w:lvlJc w:val="left"/>
      <w:pPr>
        <w:tabs>
          <w:tab w:val="num" w:pos="5760"/>
        </w:tabs>
        <w:ind w:left="5760" w:hanging="360"/>
      </w:pPr>
      <w:rPr>
        <w:rFonts w:ascii="Arial" w:hAnsi="Arial" w:hint="default"/>
      </w:rPr>
    </w:lvl>
    <w:lvl w:ilvl="8" w:tplc="B466456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5E0C72"/>
    <w:multiLevelType w:val="hybridMultilevel"/>
    <w:tmpl w:val="5726D3A4"/>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118F45AB"/>
    <w:multiLevelType w:val="hybridMultilevel"/>
    <w:tmpl w:val="E9D665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4EA0C58"/>
    <w:multiLevelType w:val="hybridMultilevel"/>
    <w:tmpl w:val="5B80909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B1D4F28"/>
    <w:multiLevelType w:val="hybridMultilevel"/>
    <w:tmpl w:val="F6525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264C98"/>
    <w:multiLevelType w:val="hybridMultilevel"/>
    <w:tmpl w:val="49EC3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3DFB7954"/>
    <w:multiLevelType w:val="hybridMultilevel"/>
    <w:tmpl w:val="DD1066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4D7669AB"/>
    <w:multiLevelType w:val="hybridMultilevel"/>
    <w:tmpl w:val="0178C0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69736FB"/>
    <w:multiLevelType w:val="hybridMultilevel"/>
    <w:tmpl w:val="E65852E8"/>
    <w:lvl w:ilvl="0" w:tplc="1862BA6A">
      <w:numFmt w:val="bullet"/>
      <w:lvlText w:val="-"/>
      <w:lvlJc w:val="left"/>
      <w:pPr>
        <w:ind w:left="720" w:hanging="360"/>
      </w:pPr>
      <w:rPr>
        <w:rFonts w:ascii="Times New Roman" w:eastAsia="SimSu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5" w15:restartNumberingAfterBreak="0">
    <w:nsid w:val="5C80760A"/>
    <w:multiLevelType w:val="hybridMultilevel"/>
    <w:tmpl w:val="610EA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7" w15:restartNumberingAfterBreak="0">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981156E"/>
    <w:multiLevelType w:val="hybridMultilevel"/>
    <w:tmpl w:val="8766F1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9"/>
  </w:num>
  <w:num w:numId="3">
    <w:abstractNumId w:val="16"/>
  </w:num>
  <w:num w:numId="4">
    <w:abstractNumId w:val="8"/>
  </w:num>
  <w:num w:numId="5">
    <w:abstractNumId w:val="10"/>
  </w:num>
  <w:num w:numId="6">
    <w:abstractNumId w:val="1"/>
  </w:num>
  <w:num w:numId="7">
    <w:abstractNumId w:val="0"/>
  </w:num>
  <w:num w:numId="8">
    <w:abstractNumId w:val="20"/>
  </w:num>
  <w:num w:numId="9">
    <w:abstractNumId w:val="13"/>
  </w:num>
  <w:num w:numId="10">
    <w:abstractNumId w:val="15"/>
  </w:num>
  <w:num w:numId="11">
    <w:abstractNumId w:val="6"/>
  </w:num>
  <w:num w:numId="12">
    <w:abstractNumId w:val="2"/>
  </w:num>
  <w:num w:numId="13">
    <w:abstractNumId w:val="7"/>
  </w:num>
  <w:num w:numId="14">
    <w:abstractNumId w:val="12"/>
  </w:num>
  <w:num w:numId="15">
    <w:abstractNumId w:val="17"/>
  </w:num>
  <w:num w:numId="16">
    <w:abstractNumId w:val="4"/>
  </w:num>
  <w:num w:numId="17">
    <w:abstractNumId w:val="3"/>
  </w:num>
  <w:num w:numId="18">
    <w:abstractNumId w:val="5"/>
  </w:num>
  <w:num w:numId="19">
    <w:abstractNumId w:val="11"/>
  </w:num>
  <w:num w:numId="20">
    <w:abstractNumId w:val="9"/>
  </w:num>
  <w:num w:numId="21">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A"/>
    <w:rsid w:val="0000045A"/>
    <w:rsid w:val="00000467"/>
    <w:rsid w:val="00000D1C"/>
    <w:rsid w:val="00000EEC"/>
    <w:rsid w:val="0000223E"/>
    <w:rsid w:val="0000311A"/>
    <w:rsid w:val="000036BB"/>
    <w:rsid w:val="00003EC2"/>
    <w:rsid w:val="000040C9"/>
    <w:rsid w:val="00004A77"/>
    <w:rsid w:val="00004D7D"/>
    <w:rsid w:val="00004F8E"/>
    <w:rsid w:val="00005313"/>
    <w:rsid w:val="000054B2"/>
    <w:rsid w:val="00005E2A"/>
    <w:rsid w:val="0000741B"/>
    <w:rsid w:val="000103F2"/>
    <w:rsid w:val="000113B5"/>
    <w:rsid w:val="000118B2"/>
    <w:rsid w:val="00011926"/>
    <w:rsid w:val="00012931"/>
    <w:rsid w:val="00012CF0"/>
    <w:rsid w:val="0001351C"/>
    <w:rsid w:val="00014C5F"/>
    <w:rsid w:val="0001579B"/>
    <w:rsid w:val="0001686B"/>
    <w:rsid w:val="00017622"/>
    <w:rsid w:val="00017E83"/>
    <w:rsid w:val="00017F08"/>
    <w:rsid w:val="00021FA1"/>
    <w:rsid w:val="00022E4A"/>
    <w:rsid w:val="00023187"/>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B0D"/>
    <w:rsid w:val="00034C0A"/>
    <w:rsid w:val="00034E6E"/>
    <w:rsid w:val="00034E94"/>
    <w:rsid w:val="00034F17"/>
    <w:rsid w:val="00035D07"/>
    <w:rsid w:val="00037DD4"/>
    <w:rsid w:val="00037F61"/>
    <w:rsid w:val="0004036D"/>
    <w:rsid w:val="000404CA"/>
    <w:rsid w:val="00040C9A"/>
    <w:rsid w:val="00041014"/>
    <w:rsid w:val="000418DA"/>
    <w:rsid w:val="0004190F"/>
    <w:rsid w:val="00041E49"/>
    <w:rsid w:val="00041EB5"/>
    <w:rsid w:val="00042837"/>
    <w:rsid w:val="0004425A"/>
    <w:rsid w:val="0004501B"/>
    <w:rsid w:val="000451B2"/>
    <w:rsid w:val="00046883"/>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040"/>
    <w:rsid w:val="00075604"/>
    <w:rsid w:val="0007674A"/>
    <w:rsid w:val="000779AC"/>
    <w:rsid w:val="00077BC5"/>
    <w:rsid w:val="000806C2"/>
    <w:rsid w:val="00080932"/>
    <w:rsid w:val="00080AB1"/>
    <w:rsid w:val="00080CE9"/>
    <w:rsid w:val="00080E87"/>
    <w:rsid w:val="000817FD"/>
    <w:rsid w:val="000818E4"/>
    <w:rsid w:val="0008288D"/>
    <w:rsid w:val="00082B0D"/>
    <w:rsid w:val="000832CD"/>
    <w:rsid w:val="0008376D"/>
    <w:rsid w:val="000840BF"/>
    <w:rsid w:val="0008547F"/>
    <w:rsid w:val="00085C0D"/>
    <w:rsid w:val="000864E2"/>
    <w:rsid w:val="00086CD6"/>
    <w:rsid w:val="00086E59"/>
    <w:rsid w:val="000873A1"/>
    <w:rsid w:val="00087CC0"/>
    <w:rsid w:val="000918CB"/>
    <w:rsid w:val="00091E1F"/>
    <w:rsid w:val="00092416"/>
    <w:rsid w:val="00092737"/>
    <w:rsid w:val="0009346C"/>
    <w:rsid w:val="00094894"/>
    <w:rsid w:val="00095E60"/>
    <w:rsid w:val="00096225"/>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1EF"/>
    <w:rsid w:val="000B2308"/>
    <w:rsid w:val="000B29D2"/>
    <w:rsid w:val="000B3D6F"/>
    <w:rsid w:val="000B3DDA"/>
    <w:rsid w:val="000B3F98"/>
    <w:rsid w:val="000B45BB"/>
    <w:rsid w:val="000B48AA"/>
    <w:rsid w:val="000B4E07"/>
    <w:rsid w:val="000B4FDD"/>
    <w:rsid w:val="000B53EE"/>
    <w:rsid w:val="000B595E"/>
    <w:rsid w:val="000B6513"/>
    <w:rsid w:val="000B75EA"/>
    <w:rsid w:val="000B7742"/>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254D"/>
    <w:rsid w:val="000E2562"/>
    <w:rsid w:val="000E2C98"/>
    <w:rsid w:val="000E3A62"/>
    <w:rsid w:val="000E40D4"/>
    <w:rsid w:val="000E4402"/>
    <w:rsid w:val="000E682B"/>
    <w:rsid w:val="000E6940"/>
    <w:rsid w:val="000E6ED2"/>
    <w:rsid w:val="000E6EE4"/>
    <w:rsid w:val="000E6F50"/>
    <w:rsid w:val="000F1CEE"/>
    <w:rsid w:val="000F292E"/>
    <w:rsid w:val="000F2CFC"/>
    <w:rsid w:val="000F2D9C"/>
    <w:rsid w:val="000F2FB7"/>
    <w:rsid w:val="000F3191"/>
    <w:rsid w:val="000F36C3"/>
    <w:rsid w:val="000F37A5"/>
    <w:rsid w:val="000F4544"/>
    <w:rsid w:val="000F4E7E"/>
    <w:rsid w:val="000F5DC0"/>
    <w:rsid w:val="000F5E35"/>
    <w:rsid w:val="000F6877"/>
    <w:rsid w:val="000F74D7"/>
    <w:rsid w:val="000F7B38"/>
    <w:rsid w:val="001002EB"/>
    <w:rsid w:val="001015F3"/>
    <w:rsid w:val="00101956"/>
    <w:rsid w:val="00102507"/>
    <w:rsid w:val="001026EB"/>
    <w:rsid w:val="001036EC"/>
    <w:rsid w:val="00103EBA"/>
    <w:rsid w:val="00105512"/>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0582"/>
    <w:rsid w:val="001215C5"/>
    <w:rsid w:val="00121653"/>
    <w:rsid w:val="00121E60"/>
    <w:rsid w:val="001238EB"/>
    <w:rsid w:val="00123A2E"/>
    <w:rsid w:val="001243FE"/>
    <w:rsid w:val="00124441"/>
    <w:rsid w:val="001251DB"/>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3D6"/>
    <w:rsid w:val="00141911"/>
    <w:rsid w:val="00141B39"/>
    <w:rsid w:val="0014299C"/>
    <w:rsid w:val="00142CFE"/>
    <w:rsid w:val="00142D41"/>
    <w:rsid w:val="00142F92"/>
    <w:rsid w:val="001432BD"/>
    <w:rsid w:val="00143659"/>
    <w:rsid w:val="00143C89"/>
    <w:rsid w:val="001440C6"/>
    <w:rsid w:val="00144482"/>
    <w:rsid w:val="0014529C"/>
    <w:rsid w:val="001454A2"/>
    <w:rsid w:val="00145DAA"/>
    <w:rsid w:val="00147408"/>
    <w:rsid w:val="001474B1"/>
    <w:rsid w:val="00147AD3"/>
    <w:rsid w:val="00150205"/>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867"/>
    <w:rsid w:val="00156EBC"/>
    <w:rsid w:val="00157167"/>
    <w:rsid w:val="00160998"/>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20BE"/>
    <w:rsid w:val="0019238D"/>
    <w:rsid w:val="00192905"/>
    <w:rsid w:val="00193912"/>
    <w:rsid w:val="001940EE"/>
    <w:rsid w:val="00195384"/>
    <w:rsid w:val="00195461"/>
    <w:rsid w:val="001956AF"/>
    <w:rsid w:val="00196F92"/>
    <w:rsid w:val="0019740D"/>
    <w:rsid w:val="00197F14"/>
    <w:rsid w:val="001A10B2"/>
    <w:rsid w:val="001A129D"/>
    <w:rsid w:val="001A1CB8"/>
    <w:rsid w:val="001A21FD"/>
    <w:rsid w:val="001A4E3B"/>
    <w:rsid w:val="001A5354"/>
    <w:rsid w:val="001A5611"/>
    <w:rsid w:val="001A5B2F"/>
    <w:rsid w:val="001A60DB"/>
    <w:rsid w:val="001A6432"/>
    <w:rsid w:val="001A6904"/>
    <w:rsid w:val="001A6B39"/>
    <w:rsid w:val="001A6BB7"/>
    <w:rsid w:val="001A7000"/>
    <w:rsid w:val="001A7B7F"/>
    <w:rsid w:val="001B00ED"/>
    <w:rsid w:val="001B0BBF"/>
    <w:rsid w:val="001B27AA"/>
    <w:rsid w:val="001B33A8"/>
    <w:rsid w:val="001B3F05"/>
    <w:rsid w:val="001B4E1C"/>
    <w:rsid w:val="001B51E2"/>
    <w:rsid w:val="001B6559"/>
    <w:rsid w:val="001C046A"/>
    <w:rsid w:val="001C0479"/>
    <w:rsid w:val="001C0535"/>
    <w:rsid w:val="001C0E89"/>
    <w:rsid w:val="001C1706"/>
    <w:rsid w:val="001C1DA8"/>
    <w:rsid w:val="001C2A18"/>
    <w:rsid w:val="001C2BA8"/>
    <w:rsid w:val="001C37EB"/>
    <w:rsid w:val="001C3DB1"/>
    <w:rsid w:val="001C4417"/>
    <w:rsid w:val="001C4879"/>
    <w:rsid w:val="001C59FB"/>
    <w:rsid w:val="001C5CB2"/>
    <w:rsid w:val="001C6301"/>
    <w:rsid w:val="001C6F31"/>
    <w:rsid w:val="001C7171"/>
    <w:rsid w:val="001C788A"/>
    <w:rsid w:val="001D042F"/>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DC6"/>
    <w:rsid w:val="001E3E93"/>
    <w:rsid w:val="001E3FA6"/>
    <w:rsid w:val="001E41F3"/>
    <w:rsid w:val="001E445B"/>
    <w:rsid w:val="001E4F4B"/>
    <w:rsid w:val="001E5056"/>
    <w:rsid w:val="001E63DD"/>
    <w:rsid w:val="001E6772"/>
    <w:rsid w:val="001E7814"/>
    <w:rsid w:val="001E7C7E"/>
    <w:rsid w:val="001F1044"/>
    <w:rsid w:val="001F15AB"/>
    <w:rsid w:val="001F15CE"/>
    <w:rsid w:val="001F1DD7"/>
    <w:rsid w:val="001F1FB0"/>
    <w:rsid w:val="001F40CE"/>
    <w:rsid w:val="001F68BF"/>
    <w:rsid w:val="001F69C0"/>
    <w:rsid w:val="001F797C"/>
    <w:rsid w:val="001F7C6D"/>
    <w:rsid w:val="0020003F"/>
    <w:rsid w:val="00200B29"/>
    <w:rsid w:val="00202745"/>
    <w:rsid w:val="00202EA4"/>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88"/>
    <w:rsid w:val="00227498"/>
    <w:rsid w:val="002316E8"/>
    <w:rsid w:val="00231CAA"/>
    <w:rsid w:val="002331A7"/>
    <w:rsid w:val="00233D8D"/>
    <w:rsid w:val="00234898"/>
    <w:rsid w:val="00234CF8"/>
    <w:rsid w:val="00235165"/>
    <w:rsid w:val="002356BB"/>
    <w:rsid w:val="00235F3E"/>
    <w:rsid w:val="00236927"/>
    <w:rsid w:val="00236FB3"/>
    <w:rsid w:val="00237E80"/>
    <w:rsid w:val="00240F42"/>
    <w:rsid w:val="00242057"/>
    <w:rsid w:val="00242324"/>
    <w:rsid w:val="0024466A"/>
    <w:rsid w:val="00244C25"/>
    <w:rsid w:val="00244CD4"/>
    <w:rsid w:val="00245157"/>
    <w:rsid w:val="002457FE"/>
    <w:rsid w:val="00245A14"/>
    <w:rsid w:val="00246BDE"/>
    <w:rsid w:val="002475E9"/>
    <w:rsid w:val="00250AB9"/>
    <w:rsid w:val="00250E8D"/>
    <w:rsid w:val="0025147C"/>
    <w:rsid w:val="0025185A"/>
    <w:rsid w:val="00251E9F"/>
    <w:rsid w:val="00252825"/>
    <w:rsid w:val="00252A10"/>
    <w:rsid w:val="00252EC0"/>
    <w:rsid w:val="00253C84"/>
    <w:rsid w:val="00253DB0"/>
    <w:rsid w:val="00254FB1"/>
    <w:rsid w:val="002558B7"/>
    <w:rsid w:val="00255B9F"/>
    <w:rsid w:val="00255E20"/>
    <w:rsid w:val="0025645C"/>
    <w:rsid w:val="002602BD"/>
    <w:rsid w:val="00261ADE"/>
    <w:rsid w:val="00261D75"/>
    <w:rsid w:val="00261E8E"/>
    <w:rsid w:val="0026276B"/>
    <w:rsid w:val="002627B5"/>
    <w:rsid w:val="002627FF"/>
    <w:rsid w:val="00262D2C"/>
    <w:rsid w:val="00262E4F"/>
    <w:rsid w:val="002634D1"/>
    <w:rsid w:val="00265ED7"/>
    <w:rsid w:val="002662B7"/>
    <w:rsid w:val="00266C33"/>
    <w:rsid w:val="00266D2C"/>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00B"/>
    <w:rsid w:val="00282E6A"/>
    <w:rsid w:val="00282EDB"/>
    <w:rsid w:val="00283507"/>
    <w:rsid w:val="002835E0"/>
    <w:rsid w:val="00283F2E"/>
    <w:rsid w:val="00284CE5"/>
    <w:rsid w:val="00285A54"/>
    <w:rsid w:val="002861C4"/>
    <w:rsid w:val="00286EFD"/>
    <w:rsid w:val="00287C98"/>
    <w:rsid w:val="0029035B"/>
    <w:rsid w:val="00290DDB"/>
    <w:rsid w:val="0029198C"/>
    <w:rsid w:val="00291A2A"/>
    <w:rsid w:val="00291B7F"/>
    <w:rsid w:val="002927D3"/>
    <w:rsid w:val="00293112"/>
    <w:rsid w:val="00293168"/>
    <w:rsid w:val="002932F1"/>
    <w:rsid w:val="00293AEF"/>
    <w:rsid w:val="00294026"/>
    <w:rsid w:val="00294649"/>
    <w:rsid w:val="00295759"/>
    <w:rsid w:val="00295FF1"/>
    <w:rsid w:val="0029690D"/>
    <w:rsid w:val="00296DA4"/>
    <w:rsid w:val="00296F22"/>
    <w:rsid w:val="0029787B"/>
    <w:rsid w:val="002979F1"/>
    <w:rsid w:val="00297E7C"/>
    <w:rsid w:val="002A1565"/>
    <w:rsid w:val="002A16AB"/>
    <w:rsid w:val="002A1BA9"/>
    <w:rsid w:val="002A1EBD"/>
    <w:rsid w:val="002A226A"/>
    <w:rsid w:val="002A2ED4"/>
    <w:rsid w:val="002A33E4"/>
    <w:rsid w:val="002A34C4"/>
    <w:rsid w:val="002A38E2"/>
    <w:rsid w:val="002A3BF2"/>
    <w:rsid w:val="002A4407"/>
    <w:rsid w:val="002A4455"/>
    <w:rsid w:val="002A4A87"/>
    <w:rsid w:val="002A5546"/>
    <w:rsid w:val="002A5567"/>
    <w:rsid w:val="002A5593"/>
    <w:rsid w:val="002A5CDB"/>
    <w:rsid w:val="002A66CF"/>
    <w:rsid w:val="002A7B65"/>
    <w:rsid w:val="002B0D9B"/>
    <w:rsid w:val="002B1061"/>
    <w:rsid w:val="002B1070"/>
    <w:rsid w:val="002B2482"/>
    <w:rsid w:val="002B2CC4"/>
    <w:rsid w:val="002B2D6E"/>
    <w:rsid w:val="002B2F1B"/>
    <w:rsid w:val="002B3324"/>
    <w:rsid w:val="002B3532"/>
    <w:rsid w:val="002B410B"/>
    <w:rsid w:val="002B4425"/>
    <w:rsid w:val="002B4B2B"/>
    <w:rsid w:val="002B50A2"/>
    <w:rsid w:val="002B50A7"/>
    <w:rsid w:val="002B53AA"/>
    <w:rsid w:val="002B6418"/>
    <w:rsid w:val="002B7BC3"/>
    <w:rsid w:val="002C02E5"/>
    <w:rsid w:val="002C107A"/>
    <w:rsid w:val="002C129C"/>
    <w:rsid w:val="002C1DA6"/>
    <w:rsid w:val="002C22F9"/>
    <w:rsid w:val="002C3949"/>
    <w:rsid w:val="002C3D11"/>
    <w:rsid w:val="002C4973"/>
    <w:rsid w:val="002C4EE1"/>
    <w:rsid w:val="002C5735"/>
    <w:rsid w:val="002C5A0A"/>
    <w:rsid w:val="002C6161"/>
    <w:rsid w:val="002C65AB"/>
    <w:rsid w:val="002C78CA"/>
    <w:rsid w:val="002C7CC6"/>
    <w:rsid w:val="002D0490"/>
    <w:rsid w:val="002D0E97"/>
    <w:rsid w:val="002D1D2B"/>
    <w:rsid w:val="002D235D"/>
    <w:rsid w:val="002D2989"/>
    <w:rsid w:val="002D2B7D"/>
    <w:rsid w:val="002D385F"/>
    <w:rsid w:val="002D42DA"/>
    <w:rsid w:val="002D470F"/>
    <w:rsid w:val="002D4823"/>
    <w:rsid w:val="002D50FC"/>
    <w:rsid w:val="002D5CCC"/>
    <w:rsid w:val="002D5E75"/>
    <w:rsid w:val="002D6EE7"/>
    <w:rsid w:val="002D74BB"/>
    <w:rsid w:val="002E0D59"/>
    <w:rsid w:val="002E1368"/>
    <w:rsid w:val="002E18FC"/>
    <w:rsid w:val="002E1DD0"/>
    <w:rsid w:val="002E221E"/>
    <w:rsid w:val="002E2F57"/>
    <w:rsid w:val="002E2FB1"/>
    <w:rsid w:val="002E399F"/>
    <w:rsid w:val="002E3A19"/>
    <w:rsid w:val="002E3CE3"/>
    <w:rsid w:val="002E4193"/>
    <w:rsid w:val="002E42DD"/>
    <w:rsid w:val="002E4B40"/>
    <w:rsid w:val="002E56FE"/>
    <w:rsid w:val="002E5D22"/>
    <w:rsid w:val="002E5D89"/>
    <w:rsid w:val="002E6768"/>
    <w:rsid w:val="002E686D"/>
    <w:rsid w:val="002E7A4C"/>
    <w:rsid w:val="002E7ADD"/>
    <w:rsid w:val="002F230E"/>
    <w:rsid w:val="002F29CF"/>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4E27"/>
    <w:rsid w:val="003050F7"/>
    <w:rsid w:val="00305505"/>
    <w:rsid w:val="00305511"/>
    <w:rsid w:val="00305DFF"/>
    <w:rsid w:val="003060F4"/>
    <w:rsid w:val="00306114"/>
    <w:rsid w:val="00307233"/>
    <w:rsid w:val="00307528"/>
    <w:rsid w:val="00307D2B"/>
    <w:rsid w:val="00312329"/>
    <w:rsid w:val="00313025"/>
    <w:rsid w:val="00314F0F"/>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883"/>
    <w:rsid w:val="0035531E"/>
    <w:rsid w:val="003560D1"/>
    <w:rsid w:val="00356B36"/>
    <w:rsid w:val="003573F2"/>
    <w:rsid w:val="003576E5"/>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0FF2"/>
    <w:rsid w:val="0038188C"/>
    <w:rsid w:val="00382B4F"/>
    <w:rsid w:val="00382BF3"/>
    <w:rsid w:val="0038443A"/>
    <w:rsid w:val="003848A6"/>
    <w:rsid w:val="003854A3"/>
    <w:rsid w:val="00385FA4"/>
    <w:rsid w:val="003862A7"/>
    <w:rsid w:val="00386372"/>
    <w:rsid w:val="003906D3"/>
    <w:rsid w:val="00391B2F"/>
    <w:rsid w:val="003922FC"/>
    <w:rsid w:val="00394C4E"/>
    <w:rsid w:val="00394D90"/>
    <w:rsid w:val="00395D27"/>
    <w:rsid w:val="00396196"/>
    <w:rsid w:val="0039625F"/>
    <w:rsid w:val="00397476"/>
    <w:rsid w:val="003A0960"/>
    <w:rsid w:val="003A09AE"/>
    <w:rsid w:val="003A0ECB"/>
    <w:rsid w:val="003A217B"/>
    <w:rsid w:val="003A2274"/>
    <w:rsid w:val="003A2976"/>
    <w:rsid w:val="003A33DC"/>
    <w:rsid w:val="003A3CB9"/>
    <w:rsid w:val="003A452F"/>
    <w:rsid w:val="003A4768"/>
    <w:rsid w:val="003A4F26"/>
    <w:rsid w:val="003A502C"/>
    <w:rsid w:val="003A5394"/>
    <w:rsid w:val="003A53D7"/>
    <w:rsid w:val="003A5EFE"/>
    <w:rsid w:val="003A64DF"/>
    <w:rsid w:val="003A6B31"/>
    <w:rsid w:val="003A7592"/>
    <w:rsid w:val="003A7DD5"/>
    <w:rsid w:val="003B0088"/>
    <w:rsid w:val="003B01ED"/>
    <w:rsid w:val="003B1001"/>
    <w:rsid w:val="003B19C6"/>
    <w:rsid w:val="003B2678"/>
    <w:rsid w:val="003B328F"/>
    <w:rsid w:val="003B32E4"/>
    <w:rsid w:val="003B3334"/>
    <w:rsid w:val="003B34D7"/>
    <w:rsid w:val="003B49F2"/>
    <w:rsid w:val="003B66D2"/>
    <w:rsid w:val="003B693D"/>
    <w:rsid w:val="003B77B7"/>
    <w:rsid w:val="003B7BA6"/>
    <w:rsid w:val="003C329E"/>
    <w:rsid w:val="003C32F9"/>
    <w:rsid w:val="003C3D9F"/>
    <w:rsid w:val="003C43E9"/>
    <w:rsid w:val="003C5321"/>
    <w:rsid w:val="003C5FED"/>
    <w:rsid w:val="003C662E"/>
    <w:rsid w:val="003C6C39"/>
    <w:rsid w:val="003C707D"/>
    <w:rsid w:val="003C70A7"/>
    <w:rsid w:val="003C72D2"/>
    <w:rsid w:val="003C7CE1"/>
    <w:rsid w:val="003D0362"/>
    <w:rsid w:val="003D161A"/>
    <w:rsid w:val="003D1E8B"/>
    <w:rsid w:val="003D30C7"/>
    <w:rsid w:val="003D38D0"/>
    <w:rsid w:val="003D43E9"/>
    <w:rsid w:val="003D4BC9"/>
    <w:rsid w:val="003D51DB"/>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670F"/>
    <w:rsid w:val="003E6AED"/>
    <w:rsid w:val="003E6BCE"/>
    <w:rsid w:val="003E7B41"/>
    <w:rsid w:val="003F0498"/>
    <w:rsid w:val="003F0A59"/>
    <w:rsid w:val="003F20F8"/>
    <w:rsid w:val="003F45B5"/>
    <w:rsid w:val="003F4F9B"/>
    <w:rsid w:val="003F5686"/>
    <w:rsid w:val="003F67F4"/>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2F61"/>
    <w:rsid w:val="004138E6"/>
    <w:rsid w:val="00413C10"/>
    <w:rsid w:val="0041400B"/>
    <w:rsid w:val="004140E3"/>
    <w:rsid w:val="00414DCA"/>
    <w:rsid w:val="00414DDB"/>
    <w:rsid w:val="004156F4"/>
    <w:rsid w:val="00415B6F"/>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EC8"/>
    <w:rsid w:val="0043438F"/>
    <w:rsid w:val="00434464"/>
    <w:rsid w:val="00434AEE"/>
    <w:rsid w:val="00434CDE"/>
    <w:rsid w:val="00435895"/>
    <w:rsid w:val="004364C5"/>
    <w:rsid w:val="004372AA"/>
    <w:rsid w:val="004376F5"/>
    <w:rsid w:val="00437C3A"/>
    <w:rsid w:val="00441962"/>
    <w:rsid w:val="004431FF"/>
    <w:rsid w:val="0044377C"/>
    <w:rsid w:val="00443B52"/>
    <w:rsid w:val="004461B8"/>
    <w:rsid w:val="00447D76"/>
    <w:rsid w:val="004510C2"/>
    <w:rsid w:val="0045141B"/>
    <w:rsid w:val="00451484"/>
    <w:rsid w:val="00451C84"/>
    <w:rsid w:val="00453664"/>
    <w:rsid w:val="00453B6C"/>
    <w:rsid w:val="004548A4"/>
    <w:rsid w:val="00455031"/>
    <w:rsid w:val="00455652"/>
    <w:rsid w:val="004558A0"/>
    <w:rsid w:val="004562C0"/>
    <w:rsid w:val="00456696"/>
    <w:rsid w:val="00456E20"/>
    <w:rsid w:val="004571A1"/>
    <w:rsid w:val="0046085C"/>
    <w:rsid w:val="00460AD5"/>
    <w:rsid w:val="00460AEF"/>
    <w:rsid w:val="00460B6A"/>
    <w:rsid w:val="00461487"/>
    <w:rsid w:val="0046182C"/>
    <w:rsid w:val="00462B0A"/>
    <w:rsid w:val="00463DAB"/>
    <w:rsid w:val="00463E59"/>
    <w:rsid w:val="004643A4"/>
    <w:rsid w:val="00464543"/>
    <w:rsid w:val="004646AB"/>
    <w:rsid w:val="004648FE"/>
    <w:rsid w:val="004652FA"/>
    <w:rsid w:val="004655F2"/>
    <w:rsid w:val="00466FED"/>
    <w:rsid w:val="00467FEA"/>
    <w:rsid w:val="00470492"/>
    <w:rsid w:val="00471ABD"/>
    <w:rsid w:val="004724E2"/>
    <w:rsid w:val="0047306D"/>
    <w:rsid w:val="0047328E"/>
    <w:rsid w:val="00473BA8"/>
    <w:rsid w:val="00473CB1"/>
    <w:rsid w:val="00473E17"/>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624"/>
    <w:rsid w:val="00484956"/>
    <w:rsid w:val="0048508B"/>
    <w:rsid w:val="00486907"/>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10C1"/>
    <w:rsid w:val="004A152D"/>
    <w:rsid w:val="004A3CDF"/>
    <w:rsid w:val="004A4493"/>
    <w:rsid w:val="004A53B9"/>
    <w:rsid w:val="004A55CF"/>
    <w:rsid w:val="004A5C0E"/>
    <w:rsid w:val="004A6415"/>
    <w:rsid w:val="004A6C7A"/>
    <w:rsid w:val="004A7742"/>
    <w:rsid w:val="004A799B"/>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4104"/>
    <w:rsid w:val="004C4691"/>
    <w:rsid w:val="004C5AE1"/>
    <w:rsid w:val="004C646F"/>
    <w:rsid w:val="004D18FF"/>
    <w:rsid w:val="004D2B61"/>
    <w:rsid w:val="004D3639"/>
    <w:rsid w:val="004D4543"/>
    <w:rsid w:val="004D65A7"/>
    <w:rsid w:val="004D67C8"/>
    <w:rsid w:val="004D68C3"/>
    <w:rsid w:val="004D6D46"/>
    <w:rsid w:val="004D6F2E"/>
    <w:rsid w:val="004D7F2C"/>
    <w:rsid w:val="004E0A86"/>
    <w:rsid w:val="004E1DAE"/>
    <w:rsid w:val="004E296B"/>
    <w:rsid w:val="004E41C3"/>
    <w:rsid w:val="004E424B"/>
    <w:rsid w:val="004E5932"/>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6124"/>
    <w:rsid w:val="004F6B4C"/>
    <w:rsid w:val="004F70BE"/>
    <w:rsid w:val="004F76D3"/>
    <w:rsid w:val="00500483"/>
    <w:rsid w:val="005006D3"/>
    <w:rsid w:val="00500C80"/>
    <w:rsid w:val="00500F0C"/>
    <w:rsid w:val="00501116"/>
    <w:rsid w:val="00501A9C"/>
    <w:rsid w:val="00501CAF"/>
    <w:rsid w:val="005028D7"/>
    <w:rsid w:val="005030B0"/>
    <w:rsid w:val="005032B8"/>
    <w:rsid w:val="00504255"/>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DF2"/>
    <w:rsid w:val="00516933"/>
    <w:rsid w:val="00522DC6"/>
    <w:rsid w:val="00523090"/>
    <w:rsid w:val="005237D3"/>
    <w:rsid w:val="00524056"/>
    <w:rsid w:val="00524FF1"/>
    <w:rsid w:val="00525051"/>
    <w:rsid w:val="005252E9"/>
    <w:rsid w:val="0052688B"/>
    <w:rsid w:val="00527EFF"/>
    <w:rsid w:val="0053003B"/>
    <w:rsid w:val="00531C10"/>
    <w:rsid w:val="005345F6"/>
    <w:rsid w:val="0053561C"/>
    <w:rsid w:val="005356ED"/>
    <w:rsid w:val="00535BEF"/>
    <w:rsid w:val="005363AD"/>
    <w:rsid w:val="00537F01"/>
    <w:rsid w:val="005405D6"/>
    <w:rsid w:val="005408B6"/>
    <w:rsid w:val="00540DF1"/>
    <w:rsid w:val="00540E00"/>
    <w:rsid w:val="00541637"/>
    <w:rsid w:val="00541CC3"/>
    <w:rsid w:val="00542731"/>
    <w:rsid w:val="00542CB1"/>
    <w:rsid w:val="0054313E"/>
    <w:rsid w:val="0054321B"/>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EF2"/>
    <w:rsid w:val="0056670F"/>
    <w:rsid w:val="00570299"/>
    <w:rsid w:val="00570F23"/>
    <w:rsid w:val="00572C79"/>
    <w:rsid w:val="005731C2"/>
    <w:rsid w:val="005737A1"/>
    <w:rsid w:val="00573896"/>
    <w:rsid w:val="005738E4"/>
    <w:rsid w:val="005739CB"/>
    <w:rsid w:val="005739DC"/>
    <w:rsid w:val="00574067"/>
    <w:rsid w:val="0057406A"/>
    <w:rsid w:val="00575B75"/>
    <w:rsid w:val="00575C6D"/>
    <w:rsid w:val="00575E80"/>
    <w:rsid w:val="00576079"/>
    <w:rsid w:val="00576DA7"/>
    <w:rsid w:val="005774A5"/>
    <w:rsid w:val="005779AC"/>
    <w:rsid w:val="00580112"/>
    <w:rsid w:val="0058135C"/>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667"/>
    <w:rsid w:val="00591FCC"/>
    <w:rsid w:val="00592E0F"/>
    <w:rsid w:val="00594485"/>
    <w:rsid w:val="00594796"/>
    <w:rsid w:val="00594F34"/>
    <w:rsid w:val="0059515C"/>
    <w:rsid w:val="0059569B"/>
    <w:rsid w:val="005960DA"/>
    <w:rsid w:val="00596426"/>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AD9"/>
    <w:rsid w:val="005B1EA7"/>
    <w:rsid w:val="005B25B3"/>
    <w:rsid w:val="005B298C"/>
    <w:rsid w:val="005B2B64"/>
    <w:rsid w:val="005B2C95"/>
    <w:rsid w:val="005B2E13"/>
    <w:rsid w:val="005B2F5A"/>
    <w:rsid w:val="005B2F9B"/>
    <w:rsid w:val="005B2FB2"/>
    <w:rsid w:val="005B3076"/>
    <w:rsid w:val="005B356C"/>
    <w:rsid w:val="005B3D9C"/>
    <w:rsid w:val="005B6086"/>
    <w:rsid w:val="005B62E4"/>
    <w:rsid w:val="005C2260"/>
    <w:rsid w:val="005C3AB3"/>
    <w:rsid w:val="005C4859"/>
    <w:rsid w:val="005C5AEB"/>
    <w:rsid w:val="005C64D7"/>
    <w:rsid w:val="005C783C"/>
    <w:rsid w:val="005C7ADE"/>
    <w:rsid w:val="005D0578"/>
    <w:rsid w:val="005D1C1E"/>
    <w:rsid w:val="005D2946"/>
    <w:rsid w:val="005D3F2D"/>
    <w:rsid w:val="005D4FCC"/>
    <w:rsid w:val="005D649C"/>
    <w:rsid w:val="005D75F9"/>
    <w:rsid w:val="005E1CEA"/>
    <w:rsid w:val="005E1E23"/>
    <w:rsid w:val="005E25A4"/>
    <w:rsid w:val="005E2960"/>
    <w:rsid w:val="005E2C44"/>
    <w:rsid w:val="005E30D3"/>
    <w:rsid w:val="005E33A3"/>
    <w:rsid w:val="005E3958"/>
    <w:rsid w:val="005E3E81"/>
    <w:rsid w:val="005E4DB9"/>
    <w:rsid w:val="005E4DEA"/>
    <w:rsid w:val="005F0333"/>
    <w:rsid w:val="005F034D"/>
    <w:rsid w:val="005F067D"/>
    <w:rsid w:val="005F16B1"/>
    <w:rsid w:val="005F1BF9"/>
    <w:rsid w:val="005F21DB"/>
    <w:rsid w:val="005F22FB"/>
    <w:rsid w:val="005F2915"/>
    <w:rsid w:val="005F3A58"/>
    <w:rsid w:val="005F3CBD"/>
    <w:rsid w:val="005F4A4C"/>
    <w:rsid w:val="005F6496"/>
    <w:rsid w:val="005F67A0"/>
    <w:rsid w:val="00600701"/>
    <w:rsid w:val="00601706"/>
    <w:rsid w:val="00601F4A"/>
    <w:rsid w:val="0060388C"/>
    <w:rsid w:val="00603D9B"/>
    <w:rsid w:val="00603F1F"/>
    <w:rsid w:val="00603FF3"/>
    <w:rsid w:val="0060442E"/>
    <w:rsid w:val="00604928"/>
    <w:rsid w:val="00605384"/>
    <w:rsid w:val="00606A30"/>
    <w:rsid w:val="006070DC"/>
    <w:rsid w:val="00607D3B"/>
    <w:rsid w:val="00610807"/>
    <w:rsid w:val="00610C78"/>
    <w:rsid w:val="00610E46"/>
    <w:rsid w:val="0061223D"/>
    <w:rsid w:val="006125BA"/>
    <w:rsid w:val="00612730"/>
    <w:rsid w:val="00612849"/>
    <w:rsid w:val="00612DC4"/>
    <w:rsid w:val="006135F7"/>
    <w:rsid w:val="006137DE"/>
    <w:rsid w:val="00613D1C"/>
    <w:rsid w:val="0061413E"/>
    <w:rsid w:val="00615B41"/>
    <w:rsid w:val="006160C9"/>
    <w:rsid w:val="006169A0"/>
    <w:rsid w:val="00617AAC"/>
    <w:rsid w:val="006201C2"/>
    <w:rsid w:val="00620E47"/>
    <w:rsid w:val="0062162D"/>
    <w:rsid w:val="0062215E"/>
    <w:rsid w:val="00622210"/>
    <w:rsid w:val="00622D02"/>
    <w:rsid w:val="006238CF"/>
    <w:rsid w:val="00624020"/>
    <w:rsid w:val="006243B6"/>
    <w:rsid w:val="00625297"/>
    <w:rsid w:val="006265EE"/>
    <w:rsid w:val="0062753C"/>
    <w:rsid w:val="006300AC"/>
    <w:rsid w:val="00630EDF"/>
    <w:rsid w:val="006315A7"/>
    <w:rsid w:val="00631762"/>
    <w:rsid w:val="0063227B"/>
    <w:rsid w:val="00632746"/>
    <w:rsid w:val="0063281F"/>
    <w:rsid w:val="00632BA4"/>
    <w:rsid w:val="0063329B"/>
    <w:rsid w:val="006332A1"/>
    <w:rsid w:val="00633E25"/>
    <w:rsid w:val="00634490"/>
    <w:rsid w:val="00634B0E"/>
    <w:rsid w:val="00635289"/>
    <w:rsid w:val="00635926"/>
    <w:rsid w:val="006360F5"/>
    <w:rsid w:val="0063631E"/>
    <w:rsid w:val="00637721"/>
    <w:rsid w:val="00637971"/>
    <w:rsid w:val="00637D7A"/>
    <w:rsid w:val="0064080D"/>
    <w:rsid w:val="00641CEF"/>
    <w:rsid w:val="0064268E"/>
    <w:rsid w:val="00642A65"/>
    <w:rsid w:val="00643300"/>
    <w:rsid w:val="0064425A"/>
    <w:rsid w:val="00644F4C"/>
    <w:rsid w:val="006455D1"/>
    <w:rsid w:val="0065024B"/>
    <w:rsid w:val="00650713"/>
    <w:rsid w:val="00650BA1"/>
    <w:rsid w:val="00651182"/>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5792F"/>
    <w:rsid w:val="0066085B"/>
    <w:rsid w:val="006626D6"/>
    <w:rsid w:val="006626E4"/>
    <w:rsid w:val="00662F12"/>
    <w:rsid w:val="00663065"/>
    <w:rsid w:val="00663A11"/>
    <w:rsid w:val="0066427F"/>
    <w:rsid w:val="00664E8B"/>
    <w:rsid w:val="00664FC6"/>
    <w:rsid w:val="00665465"/>
    <w:rsid w:val="006655FE"/>
    <w:rsid w:val="0066573E"/>
    <w:rsid w:val="00665E5C"/>
    <w:rsid w:val="00666B12"/>
    <w:rsid w:val="00666D88"/>
    <w:rsid w:val="00667691"/>
    <w:rsid w:val="00667F8A"/>
    <w:rsid w:val="006728DC"/>
    <w:rsid w:val="00672C53"/>
    <w:rsid w:val="00672D88"/>
    <w:rsid w:val="00672F55"/>
    <w:rsid w:val="0067499A"/>
    <w:rsid w:val="00675301"/>
    <w:rsid w:val="00676982"/>
    <w:rsid w:val="00676E39"/>
    <w:rsid w:val="00677193"/>
    <w:rsid w:val="006812C4"/>
    <w:rsid w:val="00681379"/>
    <w:rsid w:val="0068214F"/>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4160"/>
    <w:rsid w:val="006B51B9"/>
    <w:rsid w:val="006B73BC"/>
    <w:rsid w:val="006B7A80"/>
    <w:rsid w:val="006B7BCD"/>
    <w:rsid w:val="006B7CC8"/>
    <w:rsid w:val="006C0138"/>
    <w:rsid w:val="006C10DC"/>
    <w:rsid w:val="006C15BB"/>
    <w:rsid w:val="006C1A4B"/>
    <w:rsid w:val="006C1EDD"/>
    <w:rsid w:val="006C1F79"/>
    <w:rsid w:val="006C25D3"/>
    <w:rsid w:val="006C3038"/>
    <w:rsid w:val="006C36D0"/>
    <w:rsid w:val="006C384C"/>
    <w:rsid w:val="006C4091"/>
    <w:rsid w:val="006C4211"/>
    <w:rsid w:val="006C4680"/>
    <w:rsid w:val="006C48C8"/>
    <w:rsid w:val="006C588E"/>
    <w:rsid w:val="006C63A6"/>
    <w:rsid w:val="006C650F"/>
    <w:rsid w:val="006C6622"/>
    <w:rsid w:val="006C6ABD"/>
    <w:rsid w:val="006C7B68"/>
    <w:rsid w:val="006D00B2"/>
    <w:rsid w:val="006D12E6"/>
    <w:rsid w:val="006D2BA5"/>
    <w:rsid w:val="006D2D1E"/>
    <w:rsid w:val="006D3226"/>
    <w:rsid w:val="006D384A"/>
    <w:rsid w:val="006D40A3"/>
    <w:rsid w:val="006D599E"/>
    <w:rsid w:val="006D6EF4"/>
    <w:rsid w:val="006D78CD"/>
    <w:rsid w:val="006D7959"/>
    <w:rsid w:val="006E0714"/>
    <w:rsid w:val="006E09E7"/>
    <w:rsid w:val="006E0C38"/>
    <w:rsid w:val="006E0F08"/>
    <w:rsid w:val="006E175F"/>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390D"/>
    <w:rsid w:val="006F6047"/>
    <w:rsid w:val="006F62AA"/>
    <w:rsid w:val="006F6CEC"/>
    <w:rsid w:val="007006CE"/>
    <w:rsid w:val="00701D34"/>
    <w:rsid w:val="007027A3"/>
    <w:rsid w:val="0070316E"/>
    <w:rsid w:val="00703BBD"/>
    <w:rsid w:val="007047BA"/>
    <w:rsid w:val="0070485F"/>
    <w:rsid w:val="007048C6"/>
    <w:rsid w:val="007053FA"/>
    <w:rsid w:val="00705DBE"/>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281F"/>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5BB4"/>
    <w:rsid w:val="007363CF"/>
    <w:rsid w:val="00736DDE"/>
    <w:rsid w:val="00737AEA"/>
    <w:rsid w:val="007407DC"/>
    <w:rsid w:val="007423AC"/>
    <w:rsid w:val="00742894"/>
    <w:rsid w:val="00742C86"/>
    <w:rsid w:val="007439A0"/>
    <w:rsid w:val="00744BB3"/>
    <w:rsid w:val="00744D87"/>
    <w:rsid w:val="007458D8"/>
    <w:rsid w:val="007464AA"/>
    <w:rsid w:val="007465C3"/>
    <w:rsid w:val="00746FDC"/>
    <w:rsid w:val="0074732E"/>
    <w:rsid w:val="00747BF7"/>
    <w:rsid w:val="00750BBF"/>
    <w:rsid w:val="0075168C"/>
    <w:rsid w:val="00752187"/>
    <w:rsid w:val="00752398"/>
    <w:rsid w:val="0075251F"/>
    <w:rsid w:val="00752E93"/>
    <w:rsid w:val="007534BA"/>
    <w:rsid w:val="00754184"/>
    <w:rsid w:val="007548FF"/>
    <w:rsid w:val="00755279"/>
    <w:rsid w:val="00755A9C"/>
    <w:rsid w:val="00755D07"/>
    <w:rsid w:val="00755D94"/>
    <w:rsid w:val="007569C1"/>
    <w:rsid w:val="00756F10"/>
    <w:rsid w:val="00757946"/>
    <w:rsid w:val="00757D11"/>
    <w:rsid w:val="00760074"/>
    <w:rsid w:val="007601FC"/>
    <w:rsid w:val="007613D3"/>
    <w:rsid w:val="00761487"/>
    <w:rsid w:val="0076170E"/>
    <w:rsid w:val="00762D51"/>
    <w:rsid w:val="00762D60"/>
    <w:rsid w:val="007630DD"/>
    <w:rsid w:val="007641C7"/>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3B10"/>
    <w:rsid w:val="00774B7C"/>
    <w:rsid w:val="00774C8B"/>
    <w:rsid w:val="00774E8D"/>
    <w:rsid w:val="00775714"/>
    <w:rsid w:val="007761B3"/>
    <w:rsid w:val="0077671B"/>
    <w:rsid w:val="0078020C"/>
    <w:rsid w:val="00780610"/>
    <w:rsid w:val="00780B29"/>
    <w:rsid w:val="007815AD"/>
    <w:rsid w:val="00781843"/>
    <w:rsid w:val="0078215F"/>
    <w:rsid w:val="00782360"/>
    <w:rsid w:val="0078285A"/>
    <w:rsid w:val="00784E80"/>
    <w:rsid w:val="00786130"/>
    <w:rsid w:val="00786813"/>
    <w:rsid w:val="007868FA"/>
    <w:rsid w:val="00787035"/>
    <w:rsid w:val="00787DF8"/>
    <w:rsid w:val="007916EF"/>
    <w:rsid w:val="00791C7D"/>
    <w:rsid w:val="00791CE5"/>
    <w:rsid w:val="00791D17"/>
    <w:rsid w:val="007934AA"/>
    <w:rsid w:val="00793B92"/>
    <w:rsid w:val="0079485A"/>
    <w:rsid w:val="007949EC"/>
    <w:rsid w:val="00794AF2"/>
    <w:rsid w:val="007954F0"/>
    <w:rsid w:val="007958FA"/>
    <w:rsid w:val="00796897"/>
    <w:rsid w:val="00796898"/>
    <w:rsid w:val="00796C1B"/>
    <w:rsid w:val="007971C1"/>
    <w:rsid w:val="007979D8"/>
    <w:rsid w:val="00797B75"/>
    <w:rsid w:val="007A0275"/>
    <w:rsid w:val="007A066B"/>
    <w:rsid w:val="007A0827"/>
    <w:rsid w:val="007A25FC"/>
    <w:rsid w:val="007A2A54"/>
    <w:rsid w:val="007A38F0"/>
    <w:rsid w:val="007A3E39"/>
    <w:rsid w:val="007A47CB"/>
    <w:rsid w:val="007A542F"/>
    <w:rsid w:val="007A7DA5"/>
    <w:rsid w:val="007B0002"/>
    <w:rsid w:val="007B01DE"/>
    <w:rsid w:val="007B0503"/>
    <w:rsid w:val="007B05F1"/>
    <w:rsid w:val="007B1D44"/>
    <w:rsid w:val="007B3295"/>
    <w:rsid w:val="007B3DFB"/>
    <w:rsid w:val="007B4566"/>
    <w:rsid w:val="007B48C4"/>
    <w:rsid w:val="007B512A"/>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7935"/>
    <w:rsid w:val="007C7EF5"/>
    <w:rsid w:val="007C7FEF"/>
    <w:rsid w:val="007D05CD"/>
    <w:rsid w:val="007D0813"/>
    <w:rsid w:val="007D0B40"/>
    <w:rsid w:val="007D0B5D"/>
    <w:rsid w:val="007D0CE2"/>
    <w:rsid w:val="007D18D2"/>
    <w:rsid w:val="007D1968"/>
    <w:rsid w:val="007D1E03"/>
    <w:rsid w:val="007D22AD"/>
    <w:rsid w:val="007D2CF8"/>
    <w:rsid w:val="007D2EBF"/>
    <w:rsid w:val="007D379A"/>
    <w:rsid w:val="007D3877"/>
    <w:rsid w:val="007D3CE5"/>
    <w:rsid w:val="007D3D08"/>
    <w:rsid w:val="007D45A8"/>
    <w:rsid w:val="007D465D"/>
    <w:rsid w:val="007D6ABB"/>
    <w:rsid w:val="007D6D82"/>
    <w:rsid w:val="007D7810"/>
    <w:rsid w:val="007D7ED0"/>
    <w:rsid w:val="007E004E"/>
    <w:rsid w:val="007E004F"/>
    <w:rsid w:val="007E05FE"/>
    <w:rsid w:val="007E0E03"/>
    <w:rsid w:val="007E0EBA"/>
    <w:rsid w:val="007E0F1B"/>
    <w:rsid w:val="007E1E36"/>
    <w:rsid w:val="007E24E1"/>
    <w:rsid w:val="007E2A48"/>
    <w:rsid w:val="007E31C1"/>
    <w:rsid w:val="007E366E"/>
    <w:rsid w:val="007E3FE6"/>
    <w:rsid w:val="007E44D6"/>
    <w:rsid w:val="007E45AD"/>
    <w:rsid w:val="007E460A"/>
    <w:rsid w:val="007E4EB8"/>
    <w:rsid w:val="007E4F5E"/>
    <w:rsid w:val="007E5469"/>
    <w:rsid w:val="007E5F4B"/>
    <w:rsid w:val="007E6CB2"/>
    <w:rsid w:val="007E78D9"/>
    <w:rsid w:val="007E7FF5"/>
    <w:rsid w:val="007F08F9"/>
    <w:rsid w:val="007F12C4"/>
    <w:rsid w:val="007F1FDD"/>
    <w:rsid w:val="007F220A"/>
    <w:rsid w:val="007F34D0"/>
    <w:rsid w:val="007F38D8"/>
    <w:rsid w:val="007F4D0E"/>
    <w:rsid w:val="007F530A"/>
    <w:rsid w:val="007F5776"/>
    <w:rsid w:val="007F5FF4"/>
    <w:rsid w:val="007F6E65"/>
    <w:rsid w:val="007F7271"/>
    <w:rsid w:val="007F770B"/>
    <w:rsid w:val="007F77AE"/>
    <w:rsid w:val="007F7DD7"/>
    <w:rsid w:val="0080074F"/>
    <w:rsid w:val="00800F2A"/>
    <w:rsid w:val="0080157B"/>
    <w:rsid w:val="00801AE1"/>
    <w:rsid w:val="00802345"/>
    <w:rsid w:val="008026BB"/>
    <w:rsid w:val="00802886"/>
    <w:rsid w:val="00802B72"/>
    <w:rsid w:val="00802BB2"/>
    <w:rsid w:val="00802C47"/>
    <w:rsid w:val="008036F3"/>
    <w:rsid w:val="00803ABB"/>
    <w:rsid w:val="008042B5"/>
    <w:rsid w:val="00804344"/>
    <w:rsid w:val="0080575D"/>
    <w:rsid w:val="00805CE2"/>
    <w:rsid w:val="00805ED6"/>
    <w:rsid w:val="0080618C"/>
    <w:rsid w:val="008068E8"/>
    <w:rsid w:val="00806C4B"/>
    <w:rsid w:val="00810537"/>
    <w:rsid w:val="00811A9C"/>
    <w:rsid w:val="00812140"/>
    <w:rsid w:val="00812452"/>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211E0"/>
    <w:rsid w:val="00821510"/>
    <w:rsid w:val="00822426"/>
    <w:rsid w:val="008229C3"/>
    <w:rsid w:val="00823D48"/>
    <w:rsid w:val="00825B11"/>
    <w:rsid w:val="0082636F"/>
    <w:rsid w:val="00826ABB"/>
    <w:rsid w:val="00826CD7"/>
    <w:rsid w:val="00826F5B"/>
    <w:rsid w:val="00827129"/>
    <w:rsid w:val="00827873"/>
    <w:rsid w:val="00827B02"/>
    <w:rsid w:val="00830F55"/>
    <w:rsid w:val="0083114E"/>
    <w:rsid w:val="00831934"/>
    <w:rsid w:val="00831C84"/>
    <w:rsid w:val="00832061"/>
    <w:rsid w:val="00833343"/>
    <w:rsid w:val="00833478"/>
    <w:rsid w:val="00833B56"/>
    <w:rsid w:val="00833E2E"/>
    <w:rsid w:val="00834319"/>
    <w:rsid w:val="0083470E"/>
    <w:rsid w:val="00834DAA"/>
    <w:rsid w:val="00835684"/>
    <w:rsid w:val="00835998"/>
    <w:rsid w:val="008359BD"/>
    <w:rsid w:val="008374D2"/>
    <w:rsid w:val="00837BFB"/>
    <w:rsid w:val="00837E89"/>
    <w:rsid w:val="0084039B"/>
    <w:rsid w:val="008406A4"/>
    <w:rsid w:val="008409D0"/>
    <w:rsid w:val="008419DF"/>
    <w:rsid w:val="00841B5C"/>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9CD"/>
    <w:rsid w:val="00861F2F"/>
    <w:rsid w:val="00862147"/>
    <w:rsid w:val="00864C20"/>
    <w:rsid w:val="00865F2C"/>
    <w:rsid w:val="00866621"/>
    <w:rsid w:val="00866954"/>
    <w:rsid w:val="00866CF5"/>
    <w:rsid w:val="00866E4F"/>
    <w:rsid w:val="00866E62"/>
    <w:rsid w:val="00866F79"/>
    <w:rsid w:val="0086779A"/>
    <w:rsid w:val="00867ACE"/>
    <w:rsid w:val="00867F70"/>
    <w:rsid w:val="0087275D"/>
    <w:rsid w:val="008728C7"/>
    <w:rsid w:val="00872D3C"/>
    <w:rsid w:val="00873ACE"/>
    <w:rsid w:val="00874077"/>
    <w:rsid w:val="00874855"/>
    <w:rsid w:val="00875EEC"/>
    <w:rsid w:val="00876111"/>
    <w:rsid w:val="00876B5C"/>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185"/>
    <w:rsid w:val="00886260"/>
    <w:rsid w:val="00890CE1"/>
    <w:rsid w:val="00890D5F"/>
    <w:rsid w:val="008913B5"/>
    <w:rsid w:val="008919EC"/>
    <w:rsid w:val="008923F4"/>
    <w:rsid w:val="00892953"/>
    <w:rsid w:val="008934E0"/>
    <w:rsid w:val="008940C4"/>
    <w:rsid w:val="00894A35"/>
    <w:rsid w:val="00894B0A"/>
    <w:rsid w:val="008959BC"/>
    <w:rsid w:val="00895FC3"/>
    <w:rsid w:val="008966E3"/>
    <w:rsid w:val="008974A4"/>
    <w:rsid w:val="008A0943"/>
    <w:rsid w:val="008A122D"/>
    <w:rsid w:val="008A241E"/>
    <w:rsid w:val="008A28A2"/>
    <w:rsid w:val="008A29E7"/>
    <w:rsid w:val="008A342C"/>
    <w:rsid w:val="008A354F"/>
    <w:rsid w:val="008A3944"/>
    <w:rsid w:val="008A3CA4"/>
    <w:rsid w:val="008A3FD2"/>
    <w:rsid w:val="008A40BC"/>
    <w:rsid w:val="008A554A"/>
    <w:rsid w:val="008A57B3"/>
    <w:rsid w:val="008B1E20"/>
    <w:rsid w:val="008B251A"/>
    <w:rsid w:val="008B3894"/>
    <w:rsid w:val="008B3C06"/>
    <w:rsid w:val="008B4922"/>
    <w:rsid w:val="008B511F"/>
    <w:rsid w:val="008B529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237F"/>
    <w:rsid w:val="008D2CFE"/>
    <w:rsid w:val="008D40E6"/>
    <w:rsid w:val="008D4158"/>
    <w:rsid w:val="008D41DC"/>
    <w:rsid w:val="008D4224"/>
    <w:rsid w:val="008D47D9"/>
    <w:rsid w:val="008D4C6E"/>
    <w:rsid w:val="008D54A8"/>
    <w:rsid w:val="008D55B2"/>
    <w:rsid w:val="008D66BA"/>
    <w:rsid w:val="008D7FFB"/>
    <w:rsid w:val="008E00D2"/>
    <w:rsid w:val="008E0AB5"/>
    <w:rsid w:val="008E1A58"/>
    <w:rsid w:val="008E2EF9"/>
    <w:rsid w:val="008E4379"/>
    <w:rsid w:val="008E4772"/>
    <w:rsid w:val="008E486D"/>
    <w:rsid w:val="008E6914"/>
    <w:rsid w:val="008E7572"/>
    <w:rsid w:val="008F0092"/>
    <w:rsid w:val="008F03B1"/>
    <w:rsid w:val="008F1FAD"/>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45A7"/>
    <w:rsid w:val="00924E05"/>
    <w:rsid w:val="00925706"/>
    <w:rsid w:val="00925DF6"/>
    <w:rsid w:val="009264F0"/>
    <w:rsid w:val="00926586"/>
    <w:rsid w:val="00926ED5"/>
    <w:rsid w:val="009272E3"/>
    <w:rsid w:val="0092775D"/>
    <w:rsid w:val="0092778C"/>
    <w:rsid w:val="00930702"/>
    <w:rsid w:val="00931567"/>
    <w:rsid w:val="00931A13"/>
    <w:rsid w:val="0093242F"/>
    <w:rsid w:val="00932670"/>
    <w:rsid w:val="00932831"/>
    <w:rsid w:val="00932CF3"/>
    <w:rsid w:val="0093343E"/>
    <w:rsid w:val="00933D30"/>
    <w:rsid w:val="00934604"/>
    <w:rsid w:val="00934BC0"/>
    <w:rsid w:val="00934EFF"/>
    <w:rsid w:val="00935386"/>
    <w:rsid w:val="009354F9"/>
    <w:rsid w:val="00935DB8"/>
    <w:rsid w:val="0093715B"/>
    <w:rsid w:val="00937DB3"/>
    <w:rsid w:val="0094005E"/>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2D6D"/>
    <w:rsid w:val="0095372E"/>
    <w:rsid w:val="00953F29"/>
    <w:rsid w:val="00954A4D"/>
    <w:rsid w:val="009563A3"/>
    <w:rsid w:val="00956630"/>
    <w:rsid w:val="00957C78"/>
    <w:rsid w:val="00960C1A"/>
    <w:rsid w:val="00960F73"/>
    <w:rsid w:val="009611B8"/>
    <w:rsid w:val="0096196E"/>
    <w:rsid w:val="0096266E"/>
    <w:rsid w:val="009629BB"/>
    <w:rsid w:val="00963062"/>
    <w:rsid w:val="00963A9D"/>
    <w:rsid w:val="009650B4"/>
    <w:rsid w:val="009656C2"/>
    <w:rsid w:val="00967632"/>
    <w:rsid w:val="009711F5"/>
    <w:rsid w:val="009717EF"/>
    <w:rsid w:val="0097180E"/>
    <w:rsid w:val="00972289"/>
    <w:rsid w:val="009729A5"/>
    <w:rsid w:val="00973462"/>
    <w:rsid w:val="009735A6"/>
    <w:rsid w:val="00973767"/>
    <w:rsid w:val="00974365"/>
    <w:rsid w:val="00975666"/>
    <w:rsid w:val="009763FB"/>
    <w:rsid w:val="009805EB"/>
    <w:rsid w:val="00980D9D"/>
    <w:rsid w:val="00982099"/>
    <w:rsid w:val="00982744"/>
    <w:rsid w:val="009828BE"/>
    <w:rsid w:val="00983334"/>
    <w:rsid w:val="0098538E"/>
    <w:rsid w:val="00985D81"/>
    <w:rsid w:val="0098647B"/>
    <w:rsid w:val="009875DC"/>
    <w:rsid w:val="009877A1"/>
    <w:rsid w:val="00990417"/>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37B3"/>
    <w:rsid w:val="009A3B8A"/>
    <w:rsid w:val="009A40F9"/>
    <w:rsid w:val="009A413C"/>
    <w:rsid w:val="009A45DA"/>
    <w:rsid w:val="009A6082"/>
    <w:rsid w:val="009A715C"/>
    <w:rsid w:val="009A7A47"/>
    <w:rsid w:val="009A7D00"/>
    <w:rsid w:val="009A7E04"/>
    <w:rsid w:val="009B0494"/>
    <w:rsid w:val="009B262A"/>
    <w:rsid w:val="009B29D5"/>
    <w:rsid w:val="009B2AF7"/>
    <w:rsid w:val="009B2DF8"/>
    <w:rsid w:val="009B4359"/>
    <w:rsid w:val="009B4EA0"/>
    <w:rsid w:val="009B5DA8"/>
    <w:rsid w:val="009B72F9"/>
    <w:rsid w:val="009B77A7"/>
    <w:rsid w:val="009C091F"/>
    <w:rsid w:val="009C0EE1"/>
    <w:rsid w:val="009C0F68"/>
    <w:rsid w:val="009C2553"/>
    <w:rsid w:val="009C347A"/>
    <w:rsid w:val="009C3A01"/>
    <w:rsid w:val="009C4A98"/>
    <w:rsid w:val="009C50E8"/>
    <w:rsid w:val="009C554F"/>
    <w:rsid w:val="009C56C6"/>
    <w:rsid w:val="009C570A"/>
    <w:rsid w:val="009C6612"/>
    <w:rsid w:val="009C6FD0"/>
    <w:rsid w:val="009C70C2"/>
    <w:rsid w:val="009C72C0"/>
    <w:rsid w:val="009C78FF"/>
    <w:rsid w:val="009D0DC9"/>
    <w:rsid w:val="009D1EAC"/>
    <w:rsid w:val="009D2654"/>
    <w:rsid w:val="009D36FD"/>
    <w:rsid w:val="009D3A89"/>
    <w:rsid w:val="009D4634"/>
    <w:rsid w:val="009D5485"/>
    <w:rsid w:val="009D6196"/>
    <w:rsid w:val="009D6532"/>
    <w:rsid w:val="009D7BDD"/>
    <w:rsid w:val="009D7BF1"/>
    <w:rsid w:val="009E10CF"/>
    <w:rsid w:val="009E1C66"/>
    <w:rsid w:val="009E1DE1"/>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25A4"/>
    <w:rsid w:val="009F27BA"/>
    <w:rsid w:val="009F2955"/>
    <w:rsid w:val="009F2A15"/>
    <w:rsid w:val="009F396A"/>
    <w:rsid w:val="009F3B01"/>
    <w:rsid w:val="009F3B3F"/>
    <w:rsid w:val="009F45DB"/>
    <w:rsid w:val="009F4744"/>
    <w:rsid w:val="009F4F8B"/>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2E2F"/>
    <w:rsid w:val="00A03F50"/>
    <w:rsid w:val="00A0513C"/>
    <w:rsid w:val="00A05EC8"/>
    <w:rsid w:val="00A06AFF"/>
    <w:rsid w:val="00A07630"/>
    <w:rsid w:val="00A07DA7"/>
    <w:rsid w:val="00A10D86"/>
    <w:rsid w:val="00A111D2"/>
    <w:rsid w:val="00A112A3"/>
    <w:rsid w:val="00A12004"/>
    <w:rsid w:val="00A121E0"/>
    <w:rsid w:val="00A130C8"/>
    <w:rsid w:val="00A13AFB"/>
    <w:rsid w:val="00A14045"/>
    <w:rsid w:val="00A14501"/>
    <w:rsid w:val="00A15332"/>
    <w:rsid w:val="00A15AEA"/>
    <w:rsid w:val="00A15BEC"/>
    <w:rsid w:val="00A162FA"/>
    <w:rsid w:val="00A16A8E"/>
    <w:rsid w:val="00A17525"/>
    <w:rsid w:val="00A203BF"/>
    <w:rsid w:val="00A22046"/>
    <w:rsid w:val="00A2239F"/>
    <w:rsid w:val="00A228FC"/>
    <w:rsid w:val="00A233B9"/>
    <w:rsid w:val="00A23967"/>
    <w:rsid w:val="00A2466F"/>
    <w:rsid w:val="00A254A4"/>
    <w:rsid w:val="00A25A55"/>
    <w:rsid w:val="00A25C96"/>
    <w:rsid w:val="00A26123"/>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4029D"/>
    <w:rsid w:val="00A4039D"/>
    <w:rsid w:val="00A408C5"/>
    <w:rsid w:val="00A40F41"/>
    <w:rsid w:val="00A4124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3B1"/>
    <w:rsid w:val="00A5446B"/>
    <w:rsid w:val="00A5469D"/>
    <w:rsid w:val="00A5489D"/>
    <w:rsid w:val="00A54D8A"/>
    <w:rsid w:val="00A55D76"/>
    <w:rsid w:val="00A566EF"/>
    <w:rsid w:val="00A569AB"/>
    <w:rsid w:val="00A56E7F"/>
    <w:rsid w:val="00A614F5"/>
    <w:rsid w:val="00A62154"/>
    <w:rsid w:val="00A64E3D"/>
    <w:rsid w:val="00A65681"/>
    <w:rsid w:val="00A65AF5"/>
    <w:rsid w:val="00A65B59"/>
    <w:rsid w:val="00A660CE"/>
    <w:rsid w:val="00A67960"/>
    <w:rsid w:val="00A70954"/>
    <w:rsid w:val="00A71708"/>
    <w:rsid w:val="00A7252D"/>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16B8"/>
    <w:rsid w:val="00A92047"/>
    <w:rsid w:val="00A93D61"/>
    <w:rsid w:val="00A94AF1"/>
    <w:rsid w:val="00A94EEB"/>
    <w:rsid w:val="00A95D03"/>
    <w:rsid w:val="00A9792B"/>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B26"/>
    <w:rsid w:val="00AA4C43"/>
    <w:rsid w:val="00AA51C5"/>
    <w:rsid w:val="00AA522F"/>
    <w:rsid w:val="00AA53AD"/>
    <w:rsid w:val="00AA6238"/>
    <w:rsid w:val="00AA62F3"/>
    <w:rsid w:val="00AB09B4"/>
    <w:rsid w:val="00AB0B0B"/>
    <w:rsid w:val="00AB15A9"/>
    <w:rsid w:val="00AB201F"/>
    <w:rsid w:val="00AB210E"/>
    <w:rsid w:val="00AB2A01"/>
    <w:rsid w:val="00AB2E13"/>
    <w:rsid w:val="00AB3783"/>
    <w:rsid w:val="00AB3913"/>
    <w:rsid w:val="00AB48A0"/>
    <w:rsid w:val="00AB4DE6"/>
    <w:rsid w:val="00AB5C39"/>
    <w:rsid w:val="00AB6037"/>
    <w:rsid w:val="00AB63DE"/>
    <w:rsid w:val="00AB66A8"/>
    <w:rsid w:val="00AB6B75"/>
    <w:rsid w:val="00AB72BF"/>
    <w:rsid w:val="00AB7451"/>
    <w:rsid w:val="00AB7884"/>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E0A08"/>
    <w:rsid w:val="00AE0D11"/>
    <w:rsid w:val="00AE13B0"/>
    <w:rsid w:val="00AE1462"/>
    <w:rsid w:val="00AE16E8"/>
    <w:rsid w:val="00AE202D"/>
    <w:rsid w:val="00AE37CD"/>
    <w:rsid w:val="00AE52F8"/>
    <w:rsid w:val="00AE5A5D"/>
    <w:rsid w:val="00AE5AF1"/>
    <w:rsid w:val="00AE6186"/>
    <w:rsid w:val="00AE7499"/>
    <w:rsid w:val="00AE7CD8"/>
    <w:rsid w:val="00AF0014"/>
    <w:rsid w:val="00AF00B7"/>
    <w:rsid w:val="00AF0122"/>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580"/>
    <w:rsid w:val="00B1576D"/>
    <w:rsid w:val="00B161B9"/>
    <w:rsid w:val="00B16CE2"/>
    <w:rsid w:val="00B173CF"/>
    <w:rsid w:val="00B17411"/>
    <w:rsid w:val="00B17889"/>
    <w:rsid w:val="00B17DED"/>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F55"/>
    <w:rsid w:val="00B362CF"/>
    <w:rsid w:val="00B3631B"/>
    <w:rsid w:val="00B378EF"/>
    <w:rsid w:val="00B37A2F"/>
    <w:rsid w:val="00B37EF5"/>
    <w:rsid w:val="00B40410"/>
    <w:rsid w:val="00B41E37"/>
    <w:rsid w:val="00B42594"/>
    <w:rsid w:val="00B434EA"/>
    <w:rsid w:val="00B43705"/>
    <w:rsid w:val="00B447E9"/>
    <w:rsid w:val="00B452B6"/>
    <w:rsid w:val="00B46AEC"/>
    <w:rsid w:val="00B46CCB"/>
    <w:rsid w:val="00B47C82"/>
    <w:rsid w:val="00B5012E"/>
    <w:rsid w:val="00B50FEF"/>
    <w:rsid w:val="00B52330"/>
    <w:rsid w:val="00B53C3F"/>
    <w:rsid w:val="00B53D73"/>
    <w:rsid w:val="00B53F3A"/>
    <w:rsid w:val="00B550B1"/>
    <w:rsid w:val="00B554BE"/>
    <w:rsid w:val="00B555E0"/>
    <w:rsid w:val="00B55643"/>
    <w:rsid w:val="00B560FF"/>
    <w:rsid w:val="00B56ABC"/>
    <w:rsid w:val="00B56EB4"/>
    <w:rsid w:val="00B56F59"/>
    <w:rsid w:val="00B57AA2"/>
    <w:rsid w:val="00B6021B"/>
    <w:rsid w:val="00B610F7"/>
    <w:rsid w:val="00B64B08"/>
    <w:rsid w:val="00B66648"/>
    <w:rsid w:val="00B666FC"/>
    <w:rsid w:val="00B66841"/>
    <w:rsid w:val="00B66CD3"/>
    <w:rsid w:val="00B67B05"/>
    <w:rsid w:val="00B70044"/>
    <w:rsid w:val="00B70AC2"/>
    <w:rsid w:val="00B70E4B"/>
    <w:rsid w:val="00B70F1B"/>
    <w:rsid w:val="00B70F1E"/>
    <w:rsid w:val="00B71053"/>
    <w:rsid w:val="00B718A2"/>
    <w:rsid w:val="00B71CA5"/>
    <w:rsid w:val="00B72018"/>
    <w:rsid w:val="00B73CCD"/>
    <w:rsid w:val="00B74E36"/>
    <w:rsid w:val="00B75021"/>
    <w:rsid w:val="00B75EA8"/>
    <w:rsid w:val="00B76E95"/>
    <w:rsid w:val="00B76F78"/>
    <w:rsid w:val="00B770AD"/>
    <w:rsid w:val="00B770CB"/>
    <w:rsid w:val="00B7731F"/>
    <w:rsid w:val="00B77889"/>
    <w:rsid w:val="00B77B41"/>
    <w:rsid w:val="00B80D28"/>
    <w:rsid w:val="00B8120C"/>
    <w:rsid w:val="00B813D5"/>
    <w:rsid w:val="00B83FA3"/>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A9"/>
    <w:rsid w:val="00BA3A5D"/>
    <w:rsid w:val="00BA3FCA"/>
    <w:rsid w:val="00BA5719"/>
    <w:rsid w:val="00BA5A77"/>
    <w:rsid w:val="00BA5C36"/>
    <w:rsid w:val="00BA5E57"/>
    <w:rsid w:val="00BA7047"/>
    <w:rsid w:val="00BA7CEB"/>
    <w:rsid w:val="00BB034A"/>
    <w:rsid w:val="00BB03AE"/>
    <w:rsid w:val="00BB05C9"/>
    <w:rsid w:val="00BB0812"/>
    <w:rsid w:val="00BB091B"/>
    <w:rsid w:val="00BB16ED"/>
    <w:rsid w:val="00BB2595"/>
    <w:rsid w:val="00BB40FD"/>
    <w:rsid w:val="00BB4411"/>
    <w:rsid w:val="00BB4E9A"/>
    <w:rsid w:val="00BB4F3B"/>
    <w:rsid w:val="00BB533D"/>
    <w:rsid w:val="00BB5A8C"/>
    <w:rsid w:val="00BB5DFC"/>
    <w:rsid w:val="00BB6726"/>
    <w:rsid w:val="00BB67BA"/>
    <w:rsid w:val="00BB6920"/>
    <w:rsid w:val="00BB750C"/>
    <w:rsid w:val="00BB760E"/>
    <w:rsid w:val="00BC0399"/>
    <w:rsid w:val="00BC0DD8"/>
    <w:rsid w:val="00BC0FD6"/>
    <w:rsid w:val="00BC1C78"/>
    <w:rsid w:val="00BC2177"/>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744"/>
    <w:rsid w:val="00BE5F8B"/>
    <w:rsid w:val="00BE6FCB"/>
    <w:rsid w:val="00BE7566"/>
    <w:rsid w:val="00BF0151"/>
    <w:rsid w:val="00BF0914"/>
    <w:rsid w:val="00BF234B"/>
    <w:rsid w:val="00BF2411"/>
    <w:rsid w:val="00BF40C0"/>
    <w:rsid w:val="00BF415B"/>
    <w:rsid w:val="00BF4EAA"/>
    <w:rsid w:val="00BF5CF0"/>
    <w:rsid w:val="00BF6510"/>
    <w:rsid w:val="00BF703E"/>
    <w:rsid w:val="00BF70B5"/>
    <w:rsid w:val="00BF7671"/>
    <w:rsid w:val="00BF7680"/>
    <w:rsid w:val="00C00995"/>
    <w:rsid w:val="00C02F2D"/>
    <w:rsid w:val="00C03FC9"/>
    <w:rsid w:val="00C049CC"/>
    <w:rsid w:val="00C0555A"/>
    <w:rsid w:val="00C05BE7"/>
    <w:rsid w:val="00C062BF"/>
    <w:rsid w:val="00C07354"/>
    <w:rsid w:val="00C074EC"/>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C0D"/>
    <w:rsid w:val="00C22061"/>
    <w:rsid w:val="00C22A17"/>
    <w:rsid w:val="00C239C0"/>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2B78"/>
    <w:rsid w:val="00C33828"/>
    <w:rsid w:val="00C33F82"/>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4308"/>
    <w:rsid w:val="00C45F63"/>
    <w:rsid w:val="00C460B7"/>
    <w:rsid w:val="00C463C0"/>
    <w:rsid w:val="00C50A52"/>
    <w:rsid w:val="00C514D7"/>
    <w:rsid w:val="00C52162"/>
    <w:rsid w:val="00C52FBB"/>
    <w:rsid w:val="00C5321E"/>
    <w:rsid w:val="00C53B1F"/>
    <w:rsid w:val="00C53ED9"/>
    <w:rsid w:val="00C55441"/>
    <w:rsid w:val="00C558C5"/>
    <w:rsid w:val="00C55C9C"/>
    <w:rsid w:val="00C5669B"/>
    <w:rsid w:val="00C57064"/>
    <w:rsid w:val="00C572E6"/>
    <w:rsid w:val="00C57C4E"/>
    <w:rsid w:val="00C57ED4"/>
    <w:rsid w:val="00C606EE"/>
    <w:rsid w:val="00C60ADE"/>
    <w:rsid w:val="00C612EB"/>
    <w:rsid w:val="00C61AE3"/>
    <w:rsid w:val="00C61B70"/>
    <w:rsid w:val="00C62552"/>
    <w:rsid w:val="00C62EEC"/>
    <w:rsid w:val="00C63DC4"/>
    <w:rsid w:val="00C64CCD"/>
    <w:rsid w:val="00C64EA5"/>
    <w:rsid w:val="00C65889"/>
    <w:rsid w:val="00C65B5B"/>
    <w:rsid w:val="00C65CF4"/>
    <w:rsid w:val="00C65E2D"/>
    <w:rsid w:val="00C66579"/>
    <w:rsid w:val="00C667E7"/>
    <w:rsid w:val="00C67FCD"/>
    <w:rsid w:val="00C706BC"/>
    <w:rsid w:val="00C70934"/>
    <w:rsid w:val="00C70FC3"/>
    <w:rsid w:val="00C7235C"/>
    <w:rsid w:val="00C7380B"/>
    <w:rsid w:val="00C738BA"/>
    <w:rsid w:val="00C73DB9"/>
    <w:rsid w:val="00C74678"/>
    <w:rsid w:val="00C748C5"/>
    <w:rsid w:val="00C75465"/>
    <w:rsid w:val="00C758DE"/>
    <w:rsid w:val="00C76B76"/>
    <w:rsid w:val="00C7720E"/>
    <w:rsid w:val="00C81528"/>
    <w:rsid w:val="00C828AD"/>
    <w:rsid w:val="00C828B2"/>
    <w:rsid w:val="00C82B42"/>
    <w:rsid w:val="00C833A6"/>
    <w:rsid w:val="00C8344B"/>
    <w:rsid w:val="00C83551"/>
    <w:rsid w:val="00C842A6"/>
    <w:rsid w:val="00C843B1"/>
    <w:rsid w:val="00C8500F"/>
    <w:rsid w:val="00C856FB"/>
    <w:rsid w:val="00C86902"/>
    <w:rsid w:val="00C87012"/>
    <w:rsid w:val="00C8741D"/>
    <w:rsid w:val="00C87F19"/>
    <w:rsid w:val="00C9092D"/>
    <w:rsid w:val="00C909EF"/>
    <w:rsid w:val="00C90DE6"/>
    <w:rsid w:val="00C91610"/>
    <w:rsid w:val="00C9425B"/>
    <w:rsid w:val="00C948E6"/>
    <w:rsid w:val="00C94A76"/>
    <w:rsid w:val="00C9532E"/>
    <w:rsid w:val="00C95985"/>
    <w:rsid w:val="00C959F6"/>
    <w:rsid w:val="00C96E06"/>
    <w:rsid w:val="00C97877"/>
    <w:rsid w:val="00C97CFF"/>
    <w:rsid w:val="00CA1229"/>
    <w:rsid w:val="00CA1472"/>
    <w:rsid w:val="00CA171A"/>
    <w:rsid w:val="00CA1BA8"/>
    <w:rsid w:val="00CA2347"/>
    <w:rsid w:val="00CA2543"/>
    <w:rsid w:val="00CA25C3"/>
    <w:rsid w:val="00CA2AE0"/>
    <w:rsid w:val="00CA398E"/>
    <w:rsid w:val="00CA42E3"/>
    <w:rsid w:val="00CA562B"/>
    <w:rsid w:val="00CA5CEF"/>
    <w:rsid w:val="00CA5EBE"/>
    <w:rsid w:val="00CA608C"/>
    <w:rsid w:val="00CA638D"/>
    <w:rsid w:val="00CA6972"/>
    <w:rsid w:val="00CA7765"/>
    <w:rsid w:val="00CA784C"/>
    <w:rsid w:val="00CB2190"/>
    <w:rsid w:val="00CB280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521"/>
    <w:rsid w:val="00CC7940"/>
    <w:rsid w:val="00CD01B9"/>
    <w:rsid w:val="00CD05A4"/>
    <w:rsid w:val="00CD16D4"/>
    <w:rsid w:val="00CD19F7"/>
    <w:rsid w:val="00CD1B91"/>
    <w:rsid w:val="00CD267C"/>
    <w:rsid w:val="00CD2D8E"/>
    <w:rsid w:val="00CD2F3F"/>
    <w:rsid w:val="00CD3464"/>
    <w:rsid w:val="00CD565F"/>
    <w:rsid w:val="00CD570F"/>
    <w:rsid w:val="00CD5942"/>
    <w:rsid w:val="00CD5CDB"/>
    <w:rsid w:val="00CD6056"/>
    <w:rsid w:val="00CD69FE"/>
    <w:rsid w:val="00CD7E34"/>
    <w:rsid w:val="00CE0655"/>
    <w:rsid w:val="00CE0DAF"/>
    <w:rsid w:val="00CE14B2"/>
    <w:rsid w:val="00CE333C"/>
    <w:rsid w:val="00CE3FFE"/>
    <w:rsid w:val="00CE4022"/>
    <w:rsid w:val="00CE4100"/>
    <w:rsid w:val="00CE4922"/>
    <w:rsid w:val="00CE4B27"/>
    <w:rsid w:val="00CE5447"/>
    <w:rsid w:val="00CE602A"/>
    <w:rsid w:val="00CE6A26"/>
    <w:rsid w:val="00CE6A72"/>
    <w:rsid w:val="00CE722F"/>
    <w:rsid w:val="00CE7EF5"/>
    <w:rsid w:val="00CF03E1"/>
    <w:rsid w:val="00CF0576"/>
    <w:rsid w:val="00CF0FF3"/>
    <w:rsid w:val="00CF12EE"/>
    <w:rsid w:val="00CF2059"/>
    <w:rsid w:val="00CF2E15"/>
    <w:rsid w:val="00CF30C1"/>
    <w:rsid w:val="00CF357E"/>
    <w:rsid w:val="00CF3F71"/>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4A5"/>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33E"/>
    <w:rsid w:val="00D16410"/>
    <w:rsid w:val="00D16B76"/>
    <w:rsid w:val="00D16DCC"/>
    <w:rsid w:val="00D1774F"/>
    <w:rsid w:val="00D20462"/>
    <w:rsid w:val="00D205C1"/>
    <w:rsid w:val="00D20AA8"/>
    <w:rsid w:val="00D20ADB"/>
    <w:rsid w:val="00D20E48"/>
    <w:rsid w:val="00D21669"/>
    <w:rsid w:val="00D220B8"/>
    <w:rsid w:val="00D22E63"/>
    <w:rsid w:val="00D234D3"/>
    <w:rsid w:val="00D2397E"/>
    <w:rsid w:val="00D23DAF"/>
    <w:rsid w:val="00D248C5"/>
    <w:rsid w:val="00D25360"/>
    <w:rsid w:val="00D256DC"/>
    <w:rsid w:val="00D25BCE"/>
    <w:rsid w:val="00D30BC4"/>
    <w:rsid w:val="00D31CD5"/>
    <w:rsid w:val="00D32036"/>
    <w:rsid w:val="00D3243D"/>
    <w:rsid w:val="00D326FC"/>
    <w:rsid w:val="00D33180"/>
    <w:rsid w:val="00D34717"/>
    <w:rsid w:val="00D35DE3"/>
    <w:rsid w:val="00D36628"/>
    <w:rsid w:val="00D3672E"/>
    <w:rsid w:val="00D3688D"/>
    <w:rsid w:val="00D36C40"/>
    <w:rsid w:val="00D3768A"/>
    <w:rsid w:val="00D402B4"/>
    <w:rsid w:val="00D40B8E"/>
    <w:rsid w:val="00D41BE5"/>
    <w:rsid w:val="00D424F2"/>
    <w:rsid w:val="00D42BAC"/>
    <w:rsid w:val="00D44CE6"/>
    <w:rsid w:val="00D44ED3"/>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DA7"/>
    <w:rsid w:val="00D6077D"/>
    <w:rsid w:val="00D60C12"/>
    <w:rsid w:val="00D60E7F"/>
    <w:rsid w:val="00D6161F"/>
    <w:rsid w:val="00D61C10"/>
    <w:rsid w:val="00D62002"/>
    <w:rsid w:val="00D6206D"/>
    <w:rsid w:val="00D62B9A"/>
    <w:rsid w:val="00D62E96"/>
    <w:rsid w:val="00D63051"/>
    <w:rsid w:val="00D632F8"/>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26FC"/>
    <w:rsid w:val="00D7346E"/>
    <w:rsid w:val="00D741EC"/>
    <w:rsid w:val="00D7425E"/>
    <w:rsid w:val="00D7590B"/>
    <w:rsid w:val="00D76340"/>
    <w:rsid w:val="00D77524"/>
    <w:rsid w:val="00D80225"/>
    <w:rsid w:val="00D80957"/>
    <w:rsid w:val="00D813AD"/>
    <w:rsid w:val="00D813E8"/>
    <w:rsid w:val="00D81A0B"/>
    <w:rsid w:val="00D82023"/>
    <w:rsid w:val="00D833D5"/>
    <w:rsid w:val="00D83AB6"/>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7EF"/>
    <w:rsid w:val="00D9580B"/>
    <w:rsid w:val="00D95D39"/>
    <w:rsid w:val="00D95E9A"/>
    <w:rsid w:val="00D962A2"/>
    <w:rsid w:val="00D973CC"/>
    <w:rsid w:val="00D9742F"/>
    <w:rsid w:val="00D97FFE"/>
    <w:rsid w:val="00DA055A"/>
    <w:rsid w:val="00DA22B9"/>
    <w:rsid w:val="00DA235A"/>
    <w:rsid w:val="00DA2576"/>
    <w:rsid w:val="00DA2A6C"/>
    <w:rsid w:val="00DA36D9"/>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695D"/>
    <w:rsid w:val="00DC6C0E"/>
    <w:rsid w:val="00DC73C6"/>
    <w:rsid w:val="00DD02FE"/>
    <w:rsid w:val="00DD1010"/>
    <w:rsid w:val="00DD179D"/>
    <w:rsid w:val="00DD24D7"/>
    <w:rsid w:val="00DD3696"/>
    <w:rsid w:val="00DD447C"/>
    <w:rsid w:val="00DD4BE3"/>
    <w:rsid w:val="00DD543E"/>
    <w:rsid w:val="00DD55E2"/>
    <w:rsid w:val="00DD715B"/>
    <w:rsid w:val="00DD727F"/>
    <w:rsid w:val="00DD7715"/>
    <w:rsid w:val="00DD7BAD"/>
    <w:rsid w:val="00DE030E"/>
    <w:rsid w:val="00DE0AB4"/>
    <w:rsid w:val="00DE10F2"/>
    <w:rsid w:val="00DE24DF"/>
    <w:rsid w:val="00DE24E5"/>
    <w:rsid w:val="00DE31E4"/>
    <w:rsid w:val="00DE33A3"/>
    <w:rsid w:val="00DE40E6"/>
    <w:rsid w:val="00DE4F2C"/>
    <w:rsid w:val="00DE543C"/>
    <w:rsid w:val="00DE5AE8"/>
    <w:rsid w:val="00DE5D52"/>
    <w:rsid w:val="00DE6E2D"/>
    <w:rsid w:val="00DE7A9D"/>
    <w:rsid w:val="00DF0640"/>
    <w:rsid w:val="00DF14E8"/>
    <w:rsid w:val="00DF1CF6"/>
    <w:rsid w:val="00DF1EE6"/>
    <w:rsid w:val="00DF244C"/>
    <w:rsid w:val="00DF285E"/>
    <w:rsid w:val="00DF3165"/>
    <w:rsid w:val="00DF38B0"/>
    <w:rsid w:val="00DF5174"/>
    <w:rsid w:val="00DF53D1"/>
    <w:rsid w:val="00DF5BDD"/>
    <w:rsid w:val="00DF618F"/>
    <w:rsid w:val="00DF6838"/>
    <w:rsid w:val="00E004A9"/>
    <w:rsid w:val="00E00C8C"/>
    <w:rsid w:val="00E029EA"/>
    <w:rsid w:val="00E02B76"/>
    <w:rsid w:val="00E0303C"/>
    <w:rsid w:val="00E03F24"/>
    <w:rsid w:val="00E04547"/>
    <w:rsid w:val="00E045C5"/>
    <w:rsid w:val="00E056FB"/>
    <w:rsid w:val="00E05BC2"/>
    <w:rsid w:val="00E05C1B"/>
    <w:rsid w:val="00E077CF"/>
    <w:rsid w:val="00E077E9"/>
    <w:rsid w:val="00E07C2F"/>
    <w:rsid w:val="00E07F9C"/>
    <w:rsid w:val="00E10783"/>
    <w:rsid w:val="00E10DE3"/>
    <w:rsid w:val="00E11636"/>
    <w:rsid w:val="00E122B7"/>
    <w:rsid w:val="00E12D2E"/>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31E3"/>
    <w:rsid w:val="00E25B95"/>
    <w:rsid w:val="00E260F5"/>
    <w:rsid w:val="00E262DC"/>
    <w:rsid w:val="00E302EB"/>
    <w:rsid w:val="00E30586"/>
    <w:rsid w:val="00E31230"/>
    <w:rsid w:val="00E31906"/>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69A3"/>
    <w:rsid w:val="00E46D65"/>
    <w:rsid w:val="00E479A9"/>
    <w:rsid w:val="00E47FBE"/>
    <w:rsid w:val="00E5018C"/>
    <w:rsid w:val="00E51614"/>
    <w:rsid w:val="00E519F6"/>
    <w:rsid w:val="00E52424"/>
    <w:rsid w:val="00E532E1"/>
    <w:rsid w:val="00E53501"/>
    <w:rsid w:val="00E53616"/>
    <w:rsid w:val="00E548C6"/>
    <w:rsid w:val="00E5618E"/>
    <w:rsid w:val="00E566F2"/>
    <w:rsid w:val="00E57384"/>
    <w:rsid w:val="00E57DE0"/>
    <w:rsid w:val="00E57E2A"/>
    <w:rsid w:val="00E601DD"/>
    <w:rsid w:val="00E603C7"/>
    <w:rsid w:val="00E60A3C"/>
    <w:rsid w:val="00E60D94"/>
    <w:rsid w:val="00E614F2"/>
    <w:rsid w:val="00E61817"/>
    <w:rsid w:val="00E61B54"/>
    <w:rsid w:val="00E62225"/>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42DC"/>
    <w:rsid w:val="00E7441F"/>
    <w:rsid w:val="00E74683"/>
    <w:rsid w:val="00E74FA2"/>
    <w:rsid w:val="00E7558B"/>
    <w:rsid w:val="00E7564A"/>
    <w:rsid w:val="00E75F6B"/>
    <w:rsid w:val="00E75FDA"/>
    <w:rsid w:val="00E76173"/>
    <w:rsid w:val="00E76458"/>
    <w:rsid w:val="00E77432"/>
    <w:rsid w:val="00E80737"/>
    <w:rsid w:val="00E807C0"/>
    <w:rsid w:val="00E80F83"/>
    <w:rsid w:val="00E82089"/>
    <w:rsid w:val="00E82D82"/>
    <w:rsid w:val="00E82E03"/>
    <w:rsid w:val="00E84B38"/>
    <w:rsid w:val="00E84E3D"/>
    <w:rsid w:val="00E8562D"/>
    <w:rsid w:val="00E867BC"/>
    <w:rsid w:val="00E90EB0"/>
    <w:rsid w:val="00E92DF8"/>
    <w:rsid w:val="00E93FDF"/>
    <w:rsid w:val="00E94598"/>
    <w:rsid w:val="00E961C6"/>
    <w:rsid w:val="00E962E6"/>
    <w:rsid w:val="00E9634C"/>
    <w:rsid w:val="00E9663C"/>
    <w:rsid w:val="00E970D1"/>
    <w:rsid w:val="00E97245"/>
    <w:rsid w:val="00E974A6"/>
    <w:rsid w:val="00EA1435"/>
    <w:rsid w:val="00EA14DE"/>
    <w:rsid w:val="00EA2CCB"/>
    <w:rsid w:val="00EA3BA2"/>
    <w:rsid w:val="00EA4C54"/>
    <w:rsid w:val="00EA56BA"/>
    <w:rsid w:val="00EA5717"/>
    <w:rsid w:val="00EA6721"/>
    <w:rsid w:val="00EA7DC2"/>
    <w:rsid w:val="00EB02C3"/>
    <w:rsid w:val="00EB0E2D"/>
    <w:rsid w:val="00EB113D"/>
    <w:rsid w:val="00EB17D9"/>
    <w:rsid w:val="00EB190E"/>
    <w:rsid w:val="00EB20B5"/>
    <w:rsid w:val="00EB2217"/>
    <w:rsid w:val="00EB27C5"/>
    <w:rsid w:val="00EB2933"/>
    <w:rsid w:val="00EB2F31"/>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47C"/>
    <w:rsid w:val="00EC5A7E"/>
    <w:rsid w:val="00EC5BFF"/>
    <w:rsid w:val="00EC5EB9"/>
    <w:rsid w:val="00EC7AB8"/>
    <w:rsid w:val="00EC7B83"/>
    <w:rsid w:val="00ED06C3"/>
    <w:rsid w:val="00ED0B57"/>
    <w:rsid w:val="00ED17B8"/>
    <w:rsid w:val="00ED188D"/>
    <w:rsid w:val="00ED1E44"/>
    <w:rsid w:val="00ED20E9"/>
    <w:rsid w:val="00ED2552"/>
    <w:rsid w:val="00ED2A8B"/>
    <w:rsid w:val="00ED46C5"/>
    <w:rsid w:val="00ED620B"/>
    <w:rsid w:val="00ED71AF"/>
    <w:rsid w:val="00EE015C"/>
    <w:rsid w:val="00EE0841"/>
    <w:rsid w:val="00EE0EA9"/>
    <w:rsid w:val="00EE1ABD"/>
    <w:rsid w:val="00EE2172"/>
    <w:rsid w:val="00EE313C"/>
    <w:rsid w:val="00EE3535"/>
    <w:rsid w:val="00EE39D2"/>
    <w:rsid w:val="00EE457C"/>
    <w:rsid w:val="00EE6924"/>
    <w:rsid w:val="00EF006A"/>
    <w:rsid w:val="00EF033F"/>
    <w:rsid w:val="00EF0BA8"/>
    <w:rsid w:val="00EF1DBE"/>
    <w:rsid w:val="00EF20B7"/>
    <w:rsid w:val="00EF2DD9"/>
    <w:rsid w:val="00EF3337"/>
    <w:rsid w:val="00EF485F"/>
    <w:rsid w:val="00EF60D4"/>
    <w:rsid w:val="00EF65FD"/>
    <w:rsid w:val="00EF6BDA"/>
    <w:rsid w:val="00EF70B2"/>
    <w:rsid w:val="00EF7D7F"/>
    <w:rsid w:val="00F00343"/>
    <w:rsid w:val="00F01393"/>
    <w:rsid w:val="00F01B5B"/>
    <w:rsid w:val="00F030F0"/>
    <w:rsid w:val="00F03131"/>
    <w:rsid w:val="00F03739"/>
    <w:rsid w:val="00F0398B"/>
    <w:rsid w:val="00F04568"/>
    <w:rsid w:val="00F057BB"/>
    <w:rsid w:val="00F05939"/>
    <w:rsid w:val="00F05E19"/>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2B47"/>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CE4"/>
    <w:rsid w:val="00F50F02"/>
    <w:rsid w:val="00F51BEC"/>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D81"/>
    <w:rsid w:val="00F67A43"/>
    <w:rsid w:val="00F67B5F"/>
    <w:rsid w:val="00F701C7"/>
    <w:rsid w:val="00F711F5"/>
    <w:rsid w:val="00F71361"/>
    <w:rsid w:val="00F71521"/>
    <w:rsid w:val="00F717D6"/>
    <w:rsid w:val="00F71F95"/>
    <w:rsid w:val="00F72415"/>
    <w:rsid w:val="00F728E4"/>
    <w:rsid w:val="00F73E3E"/>
    <w:rsid w:val="00F73EFB"/>
    <w:rsid w:val="00F7502F"/>
    <w:rsid w:val="00F75758"/>
    <w:rsid w:val="00F76C8C"/>
    <w:rsid w:val="00F77711"/>
    <w:rsid w:val="00F77F11"/>
    <w:rsid w:val="00F8068B"/>
    <w:rsid w:val="00F816A3"/>
    <w:rsid w:val="00F8264A"/>
    <w:rsid w:val="00F82E70"/>
    <w:rsid w:val="00F83E01"/>
    <w:rsid w:val="00F84046"/>
    <w:rsid w:val="00F84210"/>
    <w:rsid w:val="00F84BBE"/>
    <w:rsid w:val="00F854F0"/>
    <w:rsid w:val="00F85CB6"/>
    <w:rsid w:val="00F8622B"/>
    <w:rsid w:val="00F865E8"/>
    <w:rsid w:val="00F86E5B"/>
    <w:rsid w:val="00F9052F"/>
    <w:rsid w:val="00F9187C"/>
    <w:rsid w:val="00F9272D"/>
    <w:rsid w:val="00F92892"/>
    <w:rsid w:val="00F92D75"/>
    <w:rsid w:val="00F93444"/>
    <w:rsid w:val="00F936D4"/>
    <w:rsid w:val="00F93C56"/>
    <w:rsid w:val="00F943CD"/>
    <w:rsid w:val="00F95C43"/>
    <w:rsid w:val="00F95F33"/>
    <w:rsid w:val="00F960D0"/>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55D4"/>
    <w:rsid w:val="00FA5BE4"/>
    <w:rsid w:val="00FA7BE4"/>
    <w:rsid w:val="00FA7D60"/>
    <w:rsid w:val="00FA7DB9"/>
    <w:rsid w:val="00FA7DCE"/>
    <w:rsid w:val="00FB07FD"/>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61D8"/>
    <w:rsid w:val="00FB6386"/>
    <w:rsid w:val="00FB73BD"/>
    <w:rsid w:val="00FB7F50"/>
    <w:rsid w:val="00FC009F"/>
    <w:rsid w:val="00FC0C0B"/>
    <w:rsid w:val="00FC19FC"/>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1F2C"/>
    <w:rsid w:val="00FD205F"/>
    <w:rsid w:val="00FD21C9"/>
    <w:rsid w:val="00FD2763"/>
    <w:rsid w:val="00FD2CE7"/>
    <w:rsid w:val="00FD2D06"/>
    <w:rsid w:val="00FD32A7"/>
    <w:rsid w:val="00FD34FC"/>
    <w:rsid w:val="00FD35F2"/>
    <w:rsid w:val="00FD4387"/>
    <w:rsid w:val="00FD5244"/>
    <w:rsid w:val="00FD560C"/>
    <w:rsid w:val="00FD59B4"/>
    <w:rsid w:val="00FD6A36"/>
    <w:rsid w:val="00FE08CA"/>
    <w:rsid w:val="00FE1386"/>
    <w:rsid w:val="00FE16C9"/>
    <w:rsid w:val="00FE19D8"/>
    <w:rsid w:val="00FE1E32"/>
    <w:rsid w:val="00FE22D2"/>
    <w:rsid w:val="00FE2AF6"/>
    <w:rsid w:val="00FE312F"/>
    <w:rsid w:val="00FE3671"/>
    <w:rsid w:val="00FE43E8"/>
    <w:rsid w:val="00FE4E16"/>
    <w:rsid w:val="00FE4FF8"/>
    <w:rsid w:val="00FE54F8"/>
    <w:rsid w:val="00FE578A"/>
    <w:rsid w:val="00FE5B49"/>
    <w:rsid w:val="00FE7AC2"/>
    <w:rsid w:val="00FE7DF1"/>
    <w:rsid w:val="00FE7ECF"/>
    <w:rsid w:val="00FF1639"/>
    <w:rsid w:val="00FF1CD5"/>
    <w:rsid w:val="00FF24E0"/>
    <w:rsid w:val="00FF2846"/>
    <w:rsid w:val="00FF28B3"/>
    <w:rsid w:val="00FF39F7"/>
    <w:rsid w:val="00FF4A71"/>
    <w:rsid w:val="00FF4EBA"/>
    <w:rsid w:val="00FF5AEA"/>
    <w:rsid w:val="00FF6655"/>
    <w:rsid w:val="00FF66D5"/>
    <w:rsid w:val="00FF68CF"/>
    <w:rsid w:val="00FF6A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7FE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3">
    <w:lsdException w:name="Normal" w:locked="1" w:uiPriority="0" w:qFormat="1"/>
    <w:lsdException w:name="heading 1" w:locked="1" w:uiPriority="9"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1 + 11 pt,Before:  6 pt"/>
    <w:basedOn w:val="Normal"/>
    <w:next w:val="Normal"/>
    <w:link w:val="Heading1Char"/>
    <w:uiPriority w:val="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35"/>
    <w:qFormat/>
    <w:rsid w:val="00952D6D"/>
    <w:pPr>
      <w:spacing w:after="0"/>
      <w:ind w:right="993"/>
    </w:pPr>
    <w:rPr>
      <w:b/>
      <w:sz w:val="22"/>
      <w:lang w:val="en-US" w:eastAsia="ja-JP"/>
    </w:rPr>
  </w:style>
  <w:style w:type="character" w:customStyle="1" w:styleId="CaptionChar">
    <w:name w:val="Caption Char"/>
    <w:link w:val="Caption"/>
    <w:uiPriority w:val="99"/>
    <w:locked/>
    <w:rsid w:val="00952D6D"/>
    <w:rPr>
      <w:rFonts w:ascii="Times New Roman" w:hAnsi="Times New Roman"/>
      <w:b/>
      <w:sz w:val="22"/>
      <w:lang w:val="en-US" w:eastAsia="ja-JP"/>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654940">
      <w:bodyDiv w:val="1"/>
      <w:marLeft w:val="0"/>
      <w:marRight w:val="0"/>
      <w:marTop w:val="0"/>
      <w:marBottom w:val="0"/>
      <w:divBdr>
        <w:top w:val="none" w:sz="0" w:space="0" w:color="auto"/>
        <w:left w:val="none" w:sz="0" w:space="0" w:color="auto"/>
        <w:bottom w:val="none" w:sz="0" w:space="0" w:color="auto"/>
        <w:right w:val="none" w:sz="0" w:space="0" w:color="auto"/>
      </w:divBdr>
      <w:divsChild>
        <w:div w:id="1993487046">
          <w:marLeft w:val="547"/>
          <w:marRight w:val="0"/>
          <w:marTop w:val="115"/>
          <w:marBottom w:val="0"/>
          <w:divBdr>
            <w:top w:val="none" w:sz="0" w:space="0" w:color="auto"/>
            <w:left w:val="none" w:sz="0" w:space="0" w:color="auto"/>
            <w:bottom w:val="none" w:sz="0" w:space="0" w:color="auto"/>
            <w:right w:val="none" w:sz="0" w:space="0" w:color="auto"/>
          </w:divBdr>
        </w:div>
        <w:div w:id="789938096">
          <w:marLeft w:val="547"/>
          <w:marRight w:val="0"/>
          <w:marTop w:val="115"/>
          <w:marBottom w:val="0"/>
          <w:divBdr>
            <w:top w:val="none" w:sz="0" w:space="0" w:color="auto"/>
            <w:left w:val="none" w:sz="0" w:space="0" w:color="auto"/>
            <w:bottom w:val="none" w:sz="0" w:space="0" w:color="auto"/>
            <w:right w:val="none" w:sz="0" w:space="0" w:color="auto"/>
          </w:divBdr>
        </w:div>
        <w:div w:id="689641590">
          <w:marLeft w:val="547"/>
          <w:marRight w:val="0"/>
          <w:marTop w:val="115"/>
          <w:marBottom w:val="0"/>
          <w:divBdr>
            <w:top w:val="none" w:sz="0" w:space="0" w:color="auto"/>
            <w:left w:val="none" w:sz="0" w:space="0" w:color="auto"/>
            <w:bottom w:val="none" w:sz="0" w:space="0" w:color="auto"/>
            <w:right w:val="none" w:sz="0" w:space="0" w:color="auto"/>
          </w:divBdr>
        </w:div>
        <w:div w:id="591400047">
          <w:marLeft w:val="547"/>
          <w:marRight w:val="0"/>
          <w:marTop w:val="115"/>
          <w:marBottom w:val="0"/>
          <w:divBdr>
            <w:top w:val="none" w:sz="0" w:space="0" w:color="auto"/>
            <w:left w:val="none" w:sz="0" w:space="0" w:color="auto"/>
            <w:bottom w:val="none" w:sz="0" w:space="0" w:color="auto"/>
            <w:right w:val="none" w:sz="0" w:space="0" w:color="auto"/>
          </w:divBdr>
        </w:div>
      </w:divsChild>
    </w:div>
    <w:div w:id="252327369">
      <w:bodyDiv w:val="1"/>
      <w:marLeft w:val="0"/>
      <w:marRight w:val="0"/>
      <w:marTop w:val="0"/>
      <w:marBottom w:val="0"/>
      <w:divBdr>
        <w:top w:val="none" w:sz="0" w:space="0" w:color="auto"/>
        <w:left w:val="none" w:sz="0" w:space="0" w:color="auto"/>
        <w:bottom w:val="none" w:sz="0" w:space="0" w:color="auto"/>
        <w:right w:val="none" w:sz="0" w:space="0" w:color="auto"/>
      </w:divBdr>
      <w:divsChild>
        <w:div w:id="1460148643">
          <w:marLeft w:val="806"/>
          <w:marRight w:val="0"/>
          <w:marTop w:val="154"/>
          <w:marBottom w:val="0"/>
          <w:divBdr>
            <w:top w:val="none" w:sz="0" w:space="0" w:color="auto"/>
            <w:left w:val="none" w:sz="0" w:space="0" w:color="auto"/>
            <w:bottom w:val="none" w:sz="0" w:space="0" w:color="auto"/>
            <w:right w:val="none" w:sz="0" w:space="0" w:color="auto"/>
          </w:divBdr>
        </w:div>
        <w:div w:id="776757532">
          <w:marLeft w:val="806"/>
          <w:marRight w:val="0"/>
          <w:marTop w:val="154"/>
          <w:marBottom w:val="0"/>
          <w:divBdr>
            <w:top w:val="none" w:sz="0" w:space="0" w:color="auto"/>
            <w:left w:val="none" w:sz="0" w:space="0" w:color="auto"/>
            <w:bottom w:val="none" w:sz="0" w:space="0" w:color="auto"/>
            <w:right w:val="none" w:sz="0" w:space="0" w:color="auto"/>
          </w:divBdr>
        </w:div>
      </w:divsChild>
    </w:div>
    <w:div w:id="361785510">
      <w:bodyDiv w:val="1"/>
      <w:marLeft w:val="0"/>
      <w:marRight w:val="0"/>
      <w:marTop w:val="0"/>
      <w:marBottom w:val="0"/>
      <w:divBdr>
        <w:top w:val="none" w:sz="0" w:space="0" w:color="auto"/>
        <w:left w:val="none" w:sz="0" w:space="0" w:color="auto"/>
        <w:bottom w:val="none" w:sz="0" w:space="0" w:color="auto"/>
        <w:right w:val="none" w:sz="0" w:space="0" w:color="auto"/>
      </w:divBdr>
      <w:divsChild>
        <w:div w:id="1105348031">
          <w:marLeft w:val="547"/>
          <w:marRight w:val="0"/>
          <w:marTop w:val="115"/>
          <w:marBottom w:val="0"/>
          <w:divBdr>
            <w:top w:val="none" w:sz="0" w:space="0" w:color="auto"/>
            <w:left w:val="none" w:sz="0" w:space="0" w:color="auto"/>
            <w:bottom w:val="none" w:sz="0" w:space="0" w:color="auto"/>
            <w:right w:val="none" w:sz="0" w:space="0" w:color="auto"/>
          </w:divBdr>
        </w:div>
        <w:div w:id="1788889761">
          <w:marLeft w:val="1166"/>
          <w:marRight w:val="0"/>
          <w:marTop w:val="96"/>
          <w:marBottom w:val="0"/>
          <w:divBdr>
            <w:top w:val="none" w:sz="0" w:space="0" w:color="auto"/>
            <w:left w:val="none" w:sz="0" w:space="0" w:color="auto"/>
            <w:bottom w:val="none" w:sz="0" w:space="0" w:color="auto"/>
            <w:right w:val="none" w:sz="0" w:space="0" w:color="auto"/>
          </w:divBdr>
        </w:div>
        <w:div w:id="265623241">
          <w:marLeft w:val="1800"/>
          <w:marRight w:val="0"/>
          <w:marTop w:val="77"/>
          <w:marBottom w:val="0"/>
          <w:divBdr>
            <w:top w:val="none" w:sz="0" w:space="0" w:color="auto"/>
            <w:left w:val="none" w:sz="0" w:space="0" w:color="auto"/>
            <w:bottom w:val="none" w:sz="0" w:space="0" w:color="auto"/>
            <w:right w:val="none" w:sz="0" w:space="0" w:color="auto"/>
          </w:divBdr>
        </w:div>
        <w:div w:id="383800365">
          <w:marLeft w:val="1166"/>
          <w:marRight w:val="0"/>
          <w:marTop w:val="96"/>
          <w:marBottom w:val="0"/>
          <w:divBdr>
            <w:top w:val="none" w:sz="0" w:space="0" w:color="auto"/>
            <w:left w:val="none" w:sz="0" w:space="0" w:color="auto"/>
            <w:bottom w:val="none" w:sz="0" w:space="0" w:color="auto"/>
            <w:right w:val="none" w:sz="0" w:space="0" w:color="auto"/>
          </w:divBdr>
        </w:div>
        <w:div w:id="799420349">
          <w:marLeft w:val="1800"/>
          <w:marRight w:val="0"/>
          <w:marTop w:val="77"/>
          <w:marBottom w:val="0"/>
          <w:divBdr>
            <w:top w:val="none" w:sz="0" w:space="0" w:color="auto"/>
            <w:left w:val="none" w:sz="0" w:space="0" w:color="auto"/>
            <w:bottom w:val="none" w:sz="0" w:space="0" w:color="auto"/>
            <w:right w:val="none" w:sz="0" w:space="0" w:color="auto"/>
          </w:divBdr>
        </w:div>
        <w:div w:id="1141387435">
          <w:marLeft w:val="1800"/>
          <w:marRight w:val="0"/>
          <w:marTop w:val="77"/>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68547409">
      <w:bodyDiv w:val="1"/>
      <w:marLeft w:val="0"/>
      <w:marRight w:val="0"/>
      <w:marTop w:val="0"/>
      <w:marBottom w:val="0"/>
      <w:divBdr>
        <w:top w:val="none" w:sz="0" w:space="0" w:color="auto"/>
        <w:left w:val="none" w:sz="0" w:space="0" w:color="auto"/>
        <w:bottom w:val="none" w:sz="0" w:space="0" w:color="auto"/>
        <w:right w:val="none" w:sz="0" w:space="0" w:color="auto"/>
      </w:divBdr>
      <w:divsChild>
        <w:div w:id="1534728245">
          <w:marLeft w:val="547"/>
          <w:marRight w:val="0"/>
          <w:marTop w:val="115"/>
          <w:marBottom w:val="0"/>
          <w:divBdr>
            <w:top w:val="none" w:sz="0" w:space="0" w:color="auto"/>
            <w:left w:val="none" w:sz="0" w:space="0" w:color="auto"/>
            <w:bottom w:val="none" w:sz="0" w:space="0" w:color="auto"/>
            <w:right w:val="none" w:sz="0" w:space="0" w:color="auto"/>
          </w:divBdr>
        </w:div>
        <w:div w:id="1551914904">
          <w:marLeft w:val="547"/>
          <w:marRight w:val="0"/>
          <w:marTop w:val="115"/>
          <w:marBottom w:val="0"/>
          <w:divBdr>
            <w:top w:val="none" w:sz="0" w:space="0" w:color="auto"/>
            <w:left w:val="none" w:sz="0" w:space="0" w:color="auto"/>
            <w:bottom w:val="none" w:sz="0" w:space="0" w:color="auto"/>
            <w:right w:val="none" w:sz="0" w:space="0" w:color="auto"/>
          </w:divBdr>
        </w:div>
        <w:div w:id="393433258">
          <w:marLeft w:val="547"/>
          <w:marRight w:val="0"/>
          <w:marTop w:val="115"/>
          <w:marBottom w:val="0"/>
          <w:divBdr>
            <w:top w:val="none" w:sz="0" w:space="0" w:color="auto"/>
            <w:left w:val="none" w:sz="0" w:space="0" w:color="auto"/>
            <w:bottom w:val="none" w:sz="0" w:space="0" w:color="auto"/>
            <w:right w:val="none" w:sz="0" w:space="0" w:color="auto"/>
          </w:divBdr>
        </w:div>
        <w:div w:id="857350448">
          <w:marLeft w:val="547"/>
          <w:marRight w:val="0"/>
          <w:marTop w:val="115"/>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94781178">
      <w:bodyDiv w:val="1"/>
      <w:marLeft w:val="0"/>
      <w:marRight w:val="0"/>
      <w:marTop w:val="0"/>
      <w:marBottom w:val="0"/>
      <w:divBdr>
        <w:top w:val="none" w:sz="0" w:space="0" w:color="auto"/>
        <w:left w:val="none" w:sz="0" w:space="0" w:color="auto"/>
        <w:bottom w:val="none" w:sz="0" w:space="0" w:color="auto"/>
        <w:right w:val="none" w:sz="0" w:space="0" w:color="auto"/>
      </w:divBdr>
      <w:divsChild>
        <w:div w:id="241069641">
          <w:marLeft w:val="547"/>
          <w:marRight w:val="0"/>
          <w:marTop w:val="115"/>
          <w:marBottom w:val="0"/>
          <w:divBdr>
            <w:top w:val="none" w:sz="0" w:space="0" w:color="auto"/>
            <w:left w:val="none" w:sz="0" w:space="0" w:color="auto"/>
            <w:bottom w:val="none" w:sz="0" w:space="0" w:color="auto"/>
            <w:right w:val="none" w:sz="0" w:space="0" w:color="auto"/>
          </w:divBdr>
        </w:div>
        <w:div w:id="1384210035">
          <w:marLeft w:val="547"/>
          <w:marRight w:val="0"/>
          <w:marTop w:val="115"/>
          <w:marBottom w:val="0"/>
          <w:divBdr>
            <w:top w:val="none" w:sz="0" w:space="0" w:color="auto"/>
            <w:left w:val="none" w:sz="0" w:space="0" w:color="auto"/>
            <w:bottom w:val="none" w:sz="0" w:space="0" w:color="auto"/>
            <w:right w:val="none" w:sz="0" w:space="0" w:color="auto"/>
          </w:divBdr>
        </w:div>
        <w:div w:id="1942906798">
          <w:marLeft w:val="547"/>
          <w:marRight w:val="0"/>
          <w:marTop w:val="115"/>
          <w:marBottom w:val="0"/>
          <w:divBdr>
            <w:top w:val="none" w:sz="0" w:space="0" w:color="auto"/>
            <w:left w:val="none" w:sz="0" w:space="0" w:color="auto"/>
            <w:bottom w:val="none" w:sz="0" w:space="0" w:color="auto"/>
            <w:right w:val="none" w:sz="0" w:space="0" w:color="auto"/>
          </w:divBdr>
        </w:div>
        <w:div w:id="513038177">
          <w:marLeft w:val="547"/>
          <w:marRight w:val="0"/>
          <w:marTop w:val="115"/>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E45EB9-F945-41BF-B0A8-1D7F6EB28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1776</Words>
  <Characters>9419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2016-11-04T00:17:00Z</dcterms:created>
  <dcterms:modified xsi:type="dcterms:W3CDTF">2016-11-04T08:39:00Z</dcterms:modified>
</cp:coreProperties>
</file>